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DD7AB" w14:textId="45977536" w:rsidR="00EB4988" w:rsidRPr="009A528F" w:rsidRDefault="00EB4988" w:rsidP="0938DEB3">
      <w:pPr>
        <w:pStyle w:val="Heading1"/>
        <w:spacing w:before="0" w:after="0"/>
        <w:rPr>
          <w:rFonts w:eastAsiaTheme="minorEastAsia"/>
        </w:rPr>
      </w:pPr>
      <w:r>
        <w:t xml:space="preserve">Atividade:</w:t>
      </w:r>
      <w:r>
        <w:t xml:space="preserve"> </w:t>
      </w:r>
      <w:r>
        <w:t xml:space="preserve">7-1-7 e surtos no noticiário</w:t>
      </w:r>
    </w:p>
    <w:p w14:paraId="17842671" w14:textId="77777777" w:rsidR="00EB4988" w:rsidRPr="009A528F" w:rsidRDefault="00EB4988" w:rsidP="0026325B">
      <w:pPr>
        <w:pStyle w:val="Heading1"/>
        <w:spacing w:before="0" w:after="0"/>
      </w:pPr>
    </w:p>
    <w:p w14:paraId="12004BFF" w14:textId="77777777" w:rsidR="0072302F" w:rsidRPr="009A528F" w:rsidRDefault="0072302F" w:rsidP="0026325B">
      <w:pPr>
        <w:pStyle w:val="Heading2"/>
        <w:spacing w:before="0" w:after="0"/>
        <w:rPr>
          <w:sz w:val="12"/>
          <w:szCs w:val="12"/>
        </w:rPr>
      </w:pPr>
    </w:p>
    <w:p w14:paraId="2CCBC149" w14:textId="744BACB8" w:rsidR="0072302F" w:rsidRPr="009A528F" w:rsidRDefault="2A28D8D9" w:rsidP="00E30046">
      <w:pPr>
        <w:pStyle w:val="Heading2"/>
        <w:spacing w:before="0" w:after="0"/>
      </w:pPr>
      <w:r>
        <w:t xml:space="preserve">Conjunto de cenários:</w:t>
      </w:r>
      <w:r>
        <w:t xml:space="preserve"> </w:t>
      </w:r>
      <w:r>
        <w:t xml:space="preserve">Febre tifoide</w:t>
      </w:r>
    </w:p>
    <w:p w14:paraId="267CCCA7" w14:textId="51246A6B" w:rsidR="006F57C1" w:rsidRPr="009A528F" w:rsidRDefault="00454949" w:rsidP="006F57C1">
      <w:pPr>
        <w:pStyle w:val="Heading3"/>
      </w:pPr>
      <w:r>
        <w:t xml:space="preserve">Instruções</w:t>
      </w:r>
    </w:p>
    <w:p w14:paraId="35A324A0" w14:textId="6DA9A55B" w:rsidR="004A39D0" w:rsidRPr="009A528F" w:rsidRDefault="000A46A3" w:rsidP="004A39D0">
      <w:pPr>
        <w:pStyle w:val="BodyText"/>
        <w:numPr>
          <w:ilvl w:val="0"/>
          <w:numId w:val="46"/>
        </w:numPr>
        <w:spacing w:after="0" w:line="240" w:lineRule="auto"/>
        <w:rPr>
          <w:sz w:val="22"/>
          <w:szCs w:val="22"/>
        </w:rPr>
      </w:pPr>
      <w:r>
        <w:rPr>
          <w:sz w:val="22"/>
        </w:rPr>
        <w:t xml:space="preserve">Sozinho, </w:t>
      </w:r>
      <w:r>
        <w:rPr>
          <w:sz w:val="22"/>
          <w:b/>
        </w:rPr>
        <w:t xml:space="preserve">leia </w:t>
      </w:r>
      <w:r>
        <w:rPr>
          <w:sz w:val="22"/>
        </w:rPr>
        <w:t xml:space="preserve">o(s) seguinte(s) artigo(s) de notícias.</w:t>
      </w:r>
    </w:p>
    <w:p w14:paraId="4FC4000E" w14:textId="00EBC3D9" w:rsidR="00EB4988" w:rsidRPr="009A528F" w:rsidRDefault="000A46A3" w:rsidP="00EB4988">
      <w:pPr>
        <w:pStyle w:val="BodyText"/>
        <w:numPr>
          <w:ilvl w:val="0"/>
          <w:numId w:val="46"/>
        </w:numPr>
        <w:spacing w:after="0" w:line="240" w:lineRule="auto"/>
        <w:rPr>
          <w:sz w:val="22"/>
          <w:szCs w:val="22"/>
        </w:rPr>
      </w:pPr>
      <w:r>
        <w:rPr>
          <w:sz w:val="22"/>
        </w:rPr>
        <w:t xml:space="preserve">No seu grupo</w:t>
      </w:r>
      <w:r>
        <w:rPr>
          <w:sz w:val="22"/>
          <w:b/>
        </w:rPr>
        <w:t xml:space="preserve">, discuta</w:t>
      </w:r>
      <w:r>
        <w:rPr>
          <w:sz w:val="22"/>
        </w:rPr>
        <w:t xml:space="preserve"> aplicando a abordagem 7-1-7 à situação descrita no artigo.</w:t>
      </w:r>
    </w:p>
    <w:p w14:paraId="4CE08E8E" w14:textId="0D4C2134" w:rsidR="6F4289D6" w:rsidRDefault="6F4289D6" w:rsidP="7F4ABEA4">
      <w:pPr>
        <w:pStyle w:val="BodyText"/>
        <w:numPr>
          <w:ilvl w:val="1"/>
          <w:numId w:val="46"/>
        </w:numPr>
        <w:spacing w:after="0" w:line="240" w:lineRule="auto"/>
        <w:rPr>
          <w:sz w:val="22"/>
          <w:szCs w:val="22"/>
        </w:rPr>
      </w:pPr>
      <w:r>
        <w:rPr>
          <w:sz w:val="22"/>
        </w:rPr>
        <w:t xml:space="preserve">Como o uso do 7-1-7 em tempo real pode ter sido útil na fase inicial de resposta a esse surto?</w:t>
      </w:r>
    </w:p>
    <w:p w14:paraId="5E7484A1" w14:textId="763F577D" w:rsidR="00EB4988" w:rsidRPr="00EB4988" w:rsidRDefault="00EB4988" w:rsidP="00EB4988">
      <w:pPr>
        <w:pStyle w:val="BodyText"/>
        <w:numPr>
          <w:ilvl w:val="1"/>
          <w:numId w:val="46"/>
        </w:numPr>
        <w:spacing w:after="0" w:line="240" w:lineRule="auto"/>
        <w:rPr>
          <w:sz w:val="22"/>
          <w:szCs w:val="22"/>
        </w:rPr>
      </w:pPr>
      <w:r>
        <w:rPr>
          <w:sz w:val="22"/>
        </w:rPr>
        <w:t xml:space="preserve">Em quais níveis de governo o 7-1-7 pode ser útil para aplicar neste surto (por exemplo, nível nacional, subnacional, múltiplas áreas subnacionais) e por quê?</w:t>
      </w:r>
    </w:p>
    <w:p w14:paraId="13B7CDAF" w14:textId="3EC5A5A2" w:rsidR="00EB4988" w:rsidRPr="009A528F" w:rsidRDefault="00EB4988" w:rsidP="00EB4988">
      <w:pPr>
        <w:pStyle w:val="BodyText"/>
        <w:numPr>
          <w:ilvl w:val="1"/>
          <w:numId w:val="47"/>
        </w:numPr>
        <w:spacing w:after="0" w:line="240" w:lineRule="auto"/>
        <w:rPr>
          <w:sz w:val="22"/>
          <w:szCs w:val="22"/>
        </w:rPr>
      </w:pPr>
      <w:r>
        <w:rPr>
          <w:sz w:val="22"/>
        </w:rPr>
        <w:t xml:space="preserve">Como os achados do 7-1-7 sobre esse surto podem ser usados para informar o planejamento de ações?</w:t>
      </w:r>
    </w:p>
    <w:p w14:paraId="3B9E91E2" w14:textId="2BCCE5C6" w:rsidR="00107852" w:rsidRPr="00107852" w:rsidRDefault="256E1DC3" w:rsidP="4D58012B">
      <w:pPr>
        <w:pStyle w:val="BodyText"/>
        <w:numPr>
          <w:ilvl w:val="0"/>
          <w:numId w:val="46"/>
        </w:numPr>
        <w:spacing w:after="0" w:line="240" w:lineRule="auto"/>
        <w:rPr>
          <w:sz w:val="22"/>
          <w:szCs w:val="22"/>
        </w:rPr>
      </w:pPr>
      <w:r>
        <w:rPr>
          <w:sz w:val="22"/>
        </w:rPr>
        <w:t xml:space="preserve">Usem sua imaginação e/ou experiência para responder se o artigo não tiver informações suficientes.</w:t>
      </w:r>
    </w:p>
    <w:p w14:paraId="2319B1D0" w14:textId="0EE523E2" w:rsidR="00107852" w:rsidRPr="00107852" w:rsidRDefault="00EB4988" w:rsidP="00107852">
      <w:pPr>
        <w:pStyle w:val="BodyText"/>
        <w:numPr>
          <w:ilvl w:val="0"/>
          <w:numId w:val="46"/>
        </w:numPr>
        <w:spacing w:line="240" w:lineRule="auto"/>
        <w:rPr>
          <w:sz w:val="22"/>
          <w:szCs w:val="22"/>
        </w:rPr>
      </w:pPr>
      <w:r>
        <w:rPr>
          <w:sz w:val="22"/>
        </w:rPr>
        <w:t xml:space="preserve">Em plenário, </w:t>
      </w:r>
      <w:r>
        <w:rPr>
          <w:sz w:val="22"/>
          <w:b/>
        </w:rPr>
        <w:t xml:space="preserve">resuma </w:t>
      </w:r>
      <w:r>
        <w:rPr>
          <w:sz w:val="22"/>
        </w:rPr>
        <w:t xml:space="preserve">brevemente o artigo e sua discussão.</w:t>
      </w:r>
    </w:p>
    <w:p w14:paraId="73A03FEC" w14:textId="63DFAA5D" w:rsidR="0026325B" w:rsidRPr="009A528F" w:rsidRDefault="00EB4988" w:rsidP="0026325B">
      <w:pPr>
        <w:pStyle w:val="Heading3"/>
      </w:pPr>
      <w:r>
        <w:t xml:space="preserve">Artigo de notícias nº 1</w:t>
      </w:r>
    </w:p>
    <w:p w14:paraId="03C80CFF" w14:textId="010FE9E5" w:rsidR="006F57C1" w:rsidRPr="009A528F" w:rsidRDefault="00813DFB" w:rsidP="00EB4988">
      <w:pPr>
        <w:rPr>
          <w:b/>
          <w:bCs/>
          <w:color w:val="3BB041" w:themeColor="accent1"/>
          <w:rFonts w:ascii="Arial" w:hAnsi="Arial" w:cs="Arial"/>
        </w:rPr>
      </w:pPr>
      <w:r>
        <w:rPr>
          <w:b/>
          <w:color w:val="3BB041" w:themeColor="accent1"/>
          <w:rFonts w:ascii="Arial" w:hAnsi="Arial"/>
        </w:rPr>
        <w:t xml:space="preserve">Mais de 20 moradores de Barili, Cebu, sofrem de febre tifoide</w:t>
      </w:r>
    </w:p>
    <w:p w14:paraId="2DA1719F" w14:textId="3A733C77" w:rsidR="00A629D8" w:rsidRPr="00A629D8" w:rsidRDefault="00E23D3A" w:rsidP="00A629D8">
      <w:pPr>
        <w:rPr>
          <w:rFonts w:ascii="Arial" w:eastAsiaTheme="minorHAnsi" w:hAnsi="Arial" w:cs="Arial"/>
        </w:rPr>
      </w:pPr>
      <w:r>
        <w:rPr>
          <w:rFonts w:ascii="Arial" w:hAnsi="Arial"/>
        </w:rPr>
        <w:t xml:space="preserve">GMA Regional TV | Por Fe Marie Dumaboc | 01 de fevereiro de 2025</w:t>
      </w:r>
    </w:p>
    <w:p w14:paraId="2590A027" w14:textId="77777777" w:rsidR="00A629D8" w:rsidRDefault="00A629D8" w:rsidP="00A629D8">
      <w:pPr>
        <w:widowControl/>
        <w:adjustRightInd w:val="0"/>
        <w:rPr>
          <w:rFonts w:ascii="AppleSystemUIFont" w:eastAsiaTheme="minorHAnsi" w:hAnsi="AppleSystemUIFont" w:cs="AppleSystemUIFont"/>
          <w:sz w:val="26"/>
          <w:szCs w:val="26"/>
        </w:rPr>
      </w:pPr>
    </w:p>
    <w:p w14:paraId="385CC545" w14:textId="77777777" w:rsidR="00A629D8" w:rsidRPr="00AA7EDD" w:rsidRDefault="00A629D8" w:rsidP="00A629D8">
      <w:pPr>
        <w:widowControl/>
        <w:adjustRightInd w:val="0"/>
        <w:rPr>
          <w:i/>
          <w:iCs/>
          <w:rFonts w:ascii="Arial" w:eastAsiaTheme="minorHAnsi" w:hAnsi="Arial" w:cs="Arial"/>
        </w:rPr>
      </w:pPr>
      <w:r>
        <w:rPr>
          <w:i/>
          <w:rFonts w:ascii="Arial" w:hAnsi="Arial"/>
        </w:rPr>
        <w:t xml:space="preserve">Mais de 20 moradores da cidade de Barili, no sul da província de Cebu, sofreram de febre tifoide.</w:t>
      </w:r>
    </w:p>
    <w:p w14:paraId="5A08BE62" w14:textId="77777777" w:rsidR="00A629D8" w:rsidRPr="00AA7EDD" w:rsidRDefault="00A629D8" w:rsidP="00A629D8">
      <w:pPr>
        <w:widowControl/>
        <w:adjustRightInd w:val="0"/>
        <w:rPr>
          <w:rFonts w:ascii="Arial" w:eastAsiaTheme="minorHAnsi" w:hAnsi="Arial" w:cs="Arial"/>
          <w:i/>
          <w:iCs/>
        </w:rPr>
      </w:pPr>
    </w:p>
    <w:p w14:paraId="369B8BD1" w14:textId="68C7C283" w:rsidR="00D259CF" w:rsidRDefault="00A629D8" w:rsidP="00A629D8">
      <w:pPr>
        <w:widowControl/>
        <w:adjustRightInd w:val="0"/>
        <w:rPr>
          <w:i/>
          <w:iCs/>
          <w:rFonts w:ascii="Arial" w:eastAsiaTheme="minorHAnsi" w:hAnsi="Arial" w:cs="Arial"/>
        </w:rPr>
      </w:pPr>
      <w:r>
        <w:rPr>
          <w:i/>
          <w:rFonts w:ascii="Arial" w:hAnsi="Arial"/>
        </w:rPr>
        <w:t xml:space="preserve">O presidente do Barangay Gunting, Crisiolo Superales Jr., confirmou que os moradores apresentaram febre alta, vômitos, diarreia e dores de estômago.</w:t>
      </w:r>
      <w:r>
        <w:rPr>
          <w:i/>
          <w:rFonts w:ascii="Arial" w:hAnsi="Arial"/>
        </w:rPr>
        <w:t xml:space="preserve"> </w:t>
      </w:r>
      <w:r>
        <w:rPr>
          <w:i/>
          <w:rFonts w:ascii="Arial" w:hAnsi="Arial"/>
        </w:rPr>
        <w:t xml:space="preserve">Outros sofreram de febre alta que persistiu por cerca de quatro dias.</w:t>
      </w:r>
      <w:r>
        <w:rPr>
          <w:i/>
          <w:rFonts w:ascii="Arial" w:hAnsi="Arial"/>
        </w:rPr>
        <w:t xml:space="preserve"> </w:t>
      </w:r>
      <w:r>
        <w:rPr>
          <w:i/>
          <w:rFonts w:ascii="Arial" w:hAnsi="Arial"/>
        </w:rPr>
        <w:t xml:space="preserve">Superales disse que, a princípio, eles tiveram que persuadir os moradores a procurar tratamento no posto de saúde da cidade.</w:t>
      </w:r>
    </w:p>
    <w:p w14:paraId="6FDEBAD6" w14:textId="77777777" w:rsidR="00D259CF" w:rsidRDefault="00D259CF" w:rsidP="00A629D8">
      <w:pPr>
        <w:widowControl/>
        <w:adjustRightInd w:val="0"/>
        <w:rPr>
          <w:rFonts w:ascii="Arial" w:eastAsiaTheme="minorHAnsi" w:hAnsi="Arial" w:cs="Arial"/>
          <w:i/>
          <w:iCs/>
        </w:rPr>
      </w:pPr>
    </w:p>
    <w:p w14:paraId="1EB69F35" w14:textId="67541A6A" w:rsidR="00A629D8" w:rsidRPr="00AA7EDD" w:rsidRDefault="00A629D8" w:rsidP="00A629D8">
      <w:pPr>
        <w:widowControl/>
        <w:adjustRightInd w:val="0"/>
        <w:rPr>
          <w:i/>
          <w:iCs/>
          <w:rFonts w:ascii="Arial" w:eastAsiaTheme="minorHAnsi" w:hAnsi="Arial" w:cs="Arial"/>
        </w:rPr>
      </w:pPr>
      <w:r>
        <w:rPr>
          <w:i/>
          <w:rFonts w:ascii="Arial" w:hAnsi="Arial"/>
        </w:rPr>
        <w:t xml:space="preserve">De acordo com funcionários do Marlon F. Garcia Infirmary, a admissão de residentes com febre tifoide, uma infecção potencialmente fatal causada pela bactéria Salmonella typhi e transmitida por água e alimentos contaminados, começou em 20 de janeiro de 2025.</w:t>
      </w:r>
      <w:r>
        <w:rPr>
          <w:i/>
          <w:rFonts w:ascii="Arial" w:hAnsi="Arial"/>
        </w:rPr>
        <w:t xml:space="preserve"> </w:t>
      </w:r>
      <w:r>
        <w:rPr>
          <w:i/>
          <w:rFonts w:ascii="Arial" w:hAnsi="Arial"/>
        </w:rPr>
        <w:t xml:space="preserve">A enfermaria registrou pelo menos 27 casos de febre tifoide.</w:t>
      </w:r>
      <w:r>
        <w:rPr>
          <w:i/>
          <w:rFonts w:ascii="Arial" w:hAnsi="Arial"/>
        </w:rPr>
        <w:t xml:space="preserve"> </w:t>
      </w:r>
      <w:r>
        <w:rPr>
          <w:i/>
          <w:rFonts w:ascii="Arial" w:hAnsi="Arial"/>
        </w:rPr>
        <w:t xml:space="preserve">O paciente mais novo tem cerca de quatro anos de idade.</w:t>
      </w:r>
      <w:r>
        <w:rPr>
          <w:i/>
          <w:rFonts w:ascii="Arial" w:hAnsi="Arial"/>
        </w:rPr>
        <w:t xml:space="preserve"> </w:t>
      </w:r>
      <w:r>
        <w:rPr>
          <w:i/>
          <w:rFonts w:ascii="Arial" w:hAnsi="Arial"/>
        </w:rPr>
        <w:t xml:space="preserve">Dos 27 casos, dois foram encaminhados para hospitais em Carcar City e Talisay City.</w:t>
      </w:r>
      <w:r>
        <w:rPr>
          <w:i/>
          <w:rFonts w:ascii="Arial" w:hAnsi="Arial"/>
        </w:rPr>
        <w:t xml:space="preserve"> </w:t>
      </w:r>
      <w:r>
        <w:rPr>
          <w:i/>
          <w:rFonts w:ascii="Arial" w:hAnsi="Arial"/>
        </w:rPr>
        <w:t xml:space="preserve">Soube-se que um deles já havia recebido alta.</w:t>
      </w:r>
    </w:p>
    <w:p w14:paraId="5F067763" w14:textId="77777777" w:rsidR="00A629D8" w:rsidRPr="00AA7EDD" w:rsidRDefault="00A629D8" w:rsidP="00A629D8">
      <w:pPr>
        <w:widowControl/>
        <w:adjustRightInd w:val="0"/>
        <w:rPr>
          <w:rFonts w:ascii="Arial" w:eastAsiaTheme="minorHAnsi" w:hAnsi="Arial" w:cs="Arial"/>
          <w:i/>
          <w:iCs/>
        </w:rPr>
      </w:pPr>
    </w:p>
    <w:p w14:paraId="2EB85348" w14:textId="3584B0BF" w:rsidR="00D259CF" w:rsidRDefault="00A629D8" w:rsidP="00A629D8">
      <w:pPr>
        <w:widowControl/>
        <w:adjustRightInd w:val="0"/>
        <w:rPr>
          <w:i/>
          <w:iCs/>
          <w:rFonts w:ascii="Arial" w:eastAsiaTheme="minorHAnsi" w:hAnsi="Arial" w:cs="Arial"/>
        </w:rPr>
      </w:pPr>
      <w:r>
        <w:rPr>
          <w:i/>
          <w:rFonts w:ascii="Arial" w:hAnsi="Arial"/>
        </w:rPr>
        <w:t xml:space="preserve">No momento em que este artigo foi escrito, havia oito pacientes se recuperando de febre tifoide na enfermaria.</w:t>
      </w:r>
      <w:r>
        <w:rPr>
          <w:i/>
          <w:rFonts w:ascii="Arial" w:hAnsi="Arial"/>
        </w:rPr>
        <w:t xml:space="preserve"> </w:t>
      </w:r>
      <w:r>
        <w:rPr>
          <w:i/>
          <w:rFonts w:ascii="Arial" w:hAnsi="Arial"/>
        </w:rPr>
        <w:t xml:space="preserve">Superales disse que os testes para febre tifoide são oferecidos gratuitamente na enfermaria.</w:t>
      </w:r>
      <w:r>
        <w:rPr>
          <w:i/>
          <w:rFonts w:ascii="Arial" w:hAnsi="Arial"/>
        </w:rPr>
        <w:t xml:space="preserve"> </w:t>
      </w:r>
      <w:r>
        <w:rPr>
          <w:i/>
          <w:rFonts w:ascii="Arial" w:hAnsi="Arial"/>
        </w:rPr>
        <w:t xml:space="preserve">Ele próprio também testou positivo para febre tifoide em 24 de janeiro de 2025 e disse que se recuperou totalmente.</w:t>
      </w:r>
      <w:r>
        <w:rPr>
          <w:i/>
          <w:rFonts w:ascii="Arial" w:hAnsi="Arial"/>
        </w:rPr>
        <w:t xml:space="preserve"> </w:t>
      </w:r>
      <w:r>
        <w:rPr>
          <w:i/>
          <w:rFonts w:ascii="Arial" w:hAnsi="Arial"/>
        </w:rPr>
        <w:t xml:space="preserve">Não houve relatos de vítimas, o que deixou Superales e seu conselho gratos.</w:t>
      </w:r>
    </w:p>
    <w:p w14:paraId="239A05BA" w14:textId="77777777" w:rsidR="00D259CF" w:rsidRDefault="00D259CF" w:rsidP="00A629D8">
      <w:pPr>
        <w:widowControl/>
        <w:adjustRightInd w:val="0"/>
        <w:rPr>
          <w:rFonts w:ascii="Arial" w:eastAsiaTheme="minorHAnsi" w:hAnsi="Arial" w:cs="Arial"/>
          <w:i/>
          <w:iCs/>
        </w:rPr>
      </w:pPr>
    </w:p>
    <w:p w14:paraId="3B684C90" w14:textId="64E0D482" w:rsidR="00A629D8" w:rsidRPr="00AA7EDD" w:rsidRDefault="00A629D8" w:rsidP="00A629D8">
      <w:pPr>
        <w:widowControl/>
        <w:adjustRightInd w:val="0"/>
        <w:rPr>
          <w:i/>
          <w:iCs/>
          <w:rFonts w:ascii="Arial" w:eastAsiaTheme="minorHAnsi" w:hAnsi="Arial" w:cs="Arial"/>
        </w:rPr>
      </w:pPr>
      <w:r>
        <w:rPr>
          <w:i/>
          <w:rFonts w:ascii="Arial" w:hAnsi="Arial"/>
        </w:rPr>
        <w:t xml:space="preserve">Para aumentar ainda mais o número de pacientes, Superales e outras autoridades do bairro incentivaram os moradores que apresentaram os sintomas a procurar um médico imediatamente.</w:t>
      </w:r>
      <w:r>
        <w:rPr>
          <w:i/>
          <w:rFonts w:ascii="Arial" w:hAnsi="Arial"/>
        </w:rPr>
        <w:t xml:space="preserve"> </w:t>
      </w:r>
      <w:r>
        <w:rPr>
          <w:i/>
          <w:rFonts w:ascii="Arial" w:hAnsi="Arial"/>
        </w:rPr>
        <w:t xml:space="preserve">Superales acrescentou que o prefeito de Barili, Pablo John Garcia IV, já ordenou uma investigação sobre a causa do incidente…</w:t>
      </w:r>
    </w:p>
    <w:p w14:paraId="70C387E4" w14:textId="77777777" w:rsidR="006C0638" w:rsidRDefault="006C0638" w:rsidP="00A629D8">
      <w:pPr>
        <w:widowControl/>
        <w:adjustRightInd w:val="0"/>
        <w:rPr>
          <w:rFonts w:ascii="Arial" w:eastAsiaTheme="minorHAnsi" w:hAnsi="Arial" w:cs="Arial"/>
          <w:i/>
          <w:iCs/>
        </w:rPr>
      </w:pPr>
    </w:p>
    <w:p w14:paraId="4341A399" w14:textId="214DF3EC" w:rsidR="00A629D8" w:rsidRPr="00AA7EDD" w:rsidRDefault="006C0638" w:rsidP="00A629D8">
      <w:pPr>
        <w:widowControl/>
        <w:adjustRightInd w:val="0"/>
        <w:rPr>
          <w:i/>
          <w:iCs/>
          <w:rFonts w:ascii="Arial" w:eastAsiaTheme="minorHAnsi" w:hAnsi="Arial" w:cs="Arial"/>
        </w:rPr>
      </w:pPr>
      <w:r>
        <w:rPr>
          <w:i/>
          <w:rFonts w:ascii="Arial" w:hAnsi="Arial"/>
        </w:rPr>
        <w:t xml:space="preserve">…em uma publicação em sua conta oficial nas redes sociais, ele revelou que uma investigação do Centro de Atenção Primária de Barili (Unidade de Saúde Rural) está em andamento para estabelecer a fonte de contaminação.</w:t>
      </w:r>
      <w:r>
        <w:rPr>
          <w:i/>
          <w:rFonts w:ascii="Arial" w:hAnsi="Arial"/>
        </w:rPr>
        <w:t xml:space="preserve"> </w:t>
      </w:r>
      <w:r>
        <w:rPr>
          <w:i/>
          <w:rFonts w:ascii="Arial" w:hAnsi="Arial"/>
        </w:rPr>
        <w:t xml:space="preserve">Foram verificadas fontes de água, assim como casas sem banheiros e os arredores que supostamente são limpos regularmente.</w:t>
      </w:r>
      <w:r>
        <w:rPr>
          <w:i/>
          <w:rFonts w:ascii="Arial" w:hAnsi="Arial"/>
        </w:rPr>
        <w:t xml:space="preserve"> </w:t>
      </w:r>
      <w:r>
        <w:rPr>
          <w:i/>
          <w:rFonts w:ascii="Arial" w:hAnsi="Arial"/>
        </w:rPr>
        <w:t xml:space="preserve">O Centro de Atenção Primária de Barili iniciou a distribuição de comprimidos de purificação de água aos moradores.</w:t>
      </w:r>
      <w:r>
        <w:rPr>
          <w:i/>
          <w:rFonts w:ascii="Arial" w:hAnsi="Arial"/>
        </w:rPr>
        <w:t xml:space="preserve"> </w:t>
      </w:r>
      <w:r>
        <w:rPr>
          <w:i/>
          <w:rFonts w:ascii="Arial" w:hAnsi="Arial"/>
        </w:rPr>
        <w:t xml:space="preserve">A Unidade de Governo Local de Barili também iniciou a entrega de água clorada para garantir que os moradores tenham um abastecimento de água seguro.</w:t>
      </w:r>
    </w:p>
    <w:p w14:paraId="482E0025" w14:textId="77777777" w:rsidR="00A629D8" w:rsidRPr="00AA7EDD" w:rsidRDefault="00A629D8" w:rsidP="00A629D8">
      <w:pPr>
        <w:widowControl/>
        <w:adjustRightInd w:val="0"/>
        <w:rPr>
          <w:rFonts w:ascii="Arial" w:eastAsiaTheme="minorHAnsi" w:hAnsi="Arial" w:cs="Arial"/>
          <w:i/>
          <w:iCs/>
        </w:rPr>
      </w:pPr>
    </w:p>
    <w:p w14:paraId="27C863EF" w14:textId="77777777" w:rsidR="00A629D8" w:rsidRPr="00AA7EDD" w:rsidRDefault="00A629D8" w:rsidP="00A629D8">
      <w:pPr>
        <w:widowControl/>
        <w:adjustRightInd w:val="0"/>
        <w:rPr>
          <w:i/>
          <w:iCs/>
          <w:rFonts w:ascii="Arial" w:eastAsiaTheme="minorHAnsi" w:hAnsi="Arial" w:cs="Arial"/>
        </w:rPr>
      </w:pPr>
      <w:r>
        <w:rPr>
          <w:i/>
          <w:rFonts w:ascii="Arial" w:hAnsi="Arial"/>
        </w:rPr>
        <w:t xml:space="preserve">Superales disse que, para evitar casos semelhantes, outros moradores do Barangay Gunting foram aconselhados a ferver água para beber e cozinhar.</w:t>
      </w:r>
    </w:p>
    <w:p w14:paraId="05489FB4" w14:textId="676E8717" w:rsidR="4D58012B" w:rsidRDefault="4D58012B" w:rsidP="4D58012B">
      <w:pPr>
        <w:rPr>
          <w:rFonts w:ascii="Arial" w:hAnsi="Arial" w:cs="Arial"/>
        </w:rPr>
      </w:pPr>
    </w:p>
    <w:p w14:paraId="3921F1A4" w14:textId="38DBED42" w:rsidR="008F1E38" w:rsidRDefault="5D8625D4" w:rsidP="0938DEB3">
      <w:pPr>
        <w:rPr>
          <w:rFonts w:ascii="Arial" w:hAnsi="Arial" w:cs="Arial"/>
        </w:rPr>
      </w:pPr>
      <w:r>
        <w:rPr>
          <w:rFonts w:ascii="Arial" w:hAnsi="Arial"/>
        </w:rPr>
        <w:t xml:space="preserve">O artigo original pode ser acessado em: </w:t>
      </w:r>
      <w:hyperlink r:id="rId11">
        <w:r>
          <w:rPr>
            <w:rStyle w:val="Hyperlink"/>
            <w:rFonts w:ascii="Arial" w:hAnsi="Arial"/>
          </w:rPr>
          <w:t xml:space="preserve">https://www.gmanetwork.com/news/topstories/regions/934797/over-20-residents-in-barili-cebu-suffer-from-typhoid-fever/story</w:t>
        </w:r>
      </w:hyperlink>
    </w:p>
    <w:p w14:paraId="7FAEDB22" w14:textId="77777777" w:rsidR="00503674" w:rsidRDefault="00503674" w:rsidP="0938DEB3">
      <w:pPr>
        <w:rPr>
          <w:rFonts w:ascii="Arial" w:hAnsi="Arial" w:cs="Arial"/>
        </w:rPr>
      </w:pPr>
    </w:p>
    <w:p w14:paraId="78EB59A0" w14:textId="27FCE111" w:rsidR="003A798D" w:rsidRPr="009A528F" w:rsidRDefault="003A798D" w:rsidP="003A798D">
      <w:pPr>
        <w:pStyle w:val="Heading3"/>
      </w:pPr>
      <w:r>
        <w:t xml:space="preserve">Artigo de notícias nº 2</w:t>
      </w:r>
    </w:p>
    <w:p w14:paraId="77DA3F84" w14:textId="4ABB6491" w:rsidR="003A798D" w:rsidRPr="009A528F" w:rsidRDefault="003A798D" w:rsidP="003A798D">
      <w:pPr>
        <w:rPr>
          <w:b/>
          <w:bCs/>
          <w:color w:val="3BB041" w:themeColor="accent1"/>
          <w:rFonts w:ascii="Arial" w:hAnsi="Arial" w:cs="Arial"/>
        </w:rPr>
      </w:pPr>
      <w:r>
        <w:rPr>
          <w:b/>
          <w:color w:val="3BB041" w:themeColor="accent1"/>
          <w:rFonts w:ascii="Arial" w:hAnsi="Arial"/>
        </w:rPr>
        <w:t xml:space="preserve">Febre tifoide se espalha por Negros Occidental, deixa 2 mortos e 80 doentes</w:t>
      </w:r>
    </w:p>
    <w:p w14:paraId="0AC3967B" w14:textId="4E5B7B07" w:rsidR="003A798D" w:rsidRPr="00A629D8" w:rsidRDefault="003A798D" w:rsidP="003A798D">
      <w:pPr>
        <w:rPr>
          <w:rFonts w:ascii="Arial" w:eastAsiaTheme="minorHAnsi" w:hAnsi="Arial" w:cs="Arial"/>
        </w:rPr>
      </w:pPr>
      <w:r>
        <w:rPr>
          <w:rFonts w:ascii="Arial" w:hAnsi="Arial"/>
        </w:rPr>
        <w:t xml:space="preserve">Rappler | Por Ambo Delilan | 05 de fevereiro de 2025</w:t>
      </w:r>
    </w:p>
    <w:p w14:paraId="725A6BEF" w14:textId="77777777" w:rsidR="00EB763E" w:rsidRDefault="00EB763E" w:rsidP="00EB763E">
      <w:pPr>
        <w:widowControl/>
        <w:adjustRightInd w:val="0"/>
        <w:rPr>
          <w:rFonts w:ascii="AppleSystemUIFont" w:eastAsiaTheme="minorHAnsi" w:hAnsi="AppleSystemUIFont" w:cs="AppleSystemUIFont"/>
          <w:sz w:val="26"/>
          <w:szCs w:val="26"/>
        </w:rPr>
      </w:pPr>
    </w:p>
    <w:p w14:paraId="4093CD47" w14:textId="77777777" w:rsidR="000840DB" w:rsidRPr="000840DB" w:rsidRDefault="000840DB" w:rsidP="000840DB">
      <w:pPr>
        <w:widowControl/>
        <w:adjustRightInd w:val="0"/>
        <w:rPr>
          <w:i/>
          <w:iCs/>
          <w:rFonts w:ascii="Arial" w:eastAsiaTheme="minorHAnsi" w:hAnsi="Arial" w:cs="Arial"/>
        </w:rPr>
      </w:pPr>
      <w:r>
        <w:rPr>
          <w:i/>
          <w:rFonts w:ascii="Arial" w:hAnsi="Arial"/>
        </w:rPr>
        <w:t xml:space="preserve">A febre tifoide se espalhou por 27 das 31 cidades e vilas em Negros Occidental, matando dois idosos e infectando outros 80 em janeiro, informou o departamento provincial de saúde na terça-feira, 4 de fevereiro.</w:t>
      </w:r>
    </w:p>
    <w:p w14:paraId="0137065F" w14:textId="77777777" w:rsidR="000840DB" w:rsidRPr="000840DB" w:rsidRDefault="000840DB" w:rsidP="000840DB">
      <w:pPr>
        <w:widowControl/>
        <w:adjustRightInd w:val="0"/>
        <w:rPr>
          <w:rFonts w:ascii="Arial" w:eastAsiaTheme="minorHAnsi" w:hAnsi="Arial" w:cs="Arial"/>
          <w:i/>
          <w:iCs/>
        </w:rPr>
      </w:pPr>
    </w:p>
    <w:p w14:paraId="36FC26D4" w14:textId="77777777" w:rsidR="000840DB" w:rsidRDefault="000840DB" w:rsidP="000840DB">
      <w:pPr>
        <w:widowControl/>
        <w:adjustRightInd w:val="0"/>
        <w:rPr>
          <w:i/>
          <w:iCs/>
          <w:rFonts w:ascii="Arial" w:eastAsiaTheme="minorHAnsi" w:hAnsi="Arial" w:cs="Arial"/>
        </w:rPr>
      </w:pPr>
      <w:r>
        <w:rPr>
          <w:i/>
          <w:rFonts w:ascii="Arial" w:hAnsi="Arial"/>
        </w:rPr>
        <w:t xml:space="preserve">A Dra. Girlie Pinongan, responsável pela saúde da província, disse que as vítimas fatais, de 62 e 79 anos, eram da cidade de Victoria e da cidade de Isabela.</w:t>
      </w:r>
    </w:p>
    <w:p w14:paraId="699F1169" w14:textId="77777777" w:rsidR="00A73CC3" w:rsidRPr="000840DB" w:rsidRDefault="00A73CC3" w:rsidP="000840DB">
      <w:pPr>
        <w:widowControl/>
        <w:adjustRightInd w:val="0"/>
        <w:rPr>
          <w:rFonts w:ascii="Arial" w:eastAsiaTheme="minorHAnsi" w:hAnsi="Arial" w:cs="Arial"/>
          <w:i/>
          <w:iCs/>
        </w:rPr>
      </w:pPr>
    </w:p>
    <w:p w14:paraId="026A7554" w14:textId="77777777" w:rsidR="000840DB" w:rsidRPr="000840DB" w:rsidRDefault="000840DB" w:rsidP="000840DB">
      <w:pPr>
        <w:widowControl/>
        <w:adjustRightInd w:val="0"/>
        <w:rPr>
          <w:i/>
          <w:iCs/>
          <w:rFonts w:ascii="Arial" w:eastAsiaTheme="minorHAnsi" w:hAnsi="Arial" w:cs="Arial"/>
        </w:rPr>
      </w:pPr>
      <w:r>
        <w:rPr>
          <w:i/>
          <w:rFonts w:ascii="Arial" w:hAnsi="Arial"/>
        </w:rPr>
        <w:t xml:space="preserve">As cidades de Kabankalan e Hinoba-an, ambas no sul de Negros Occidental, registraram o maior número de casos, com 16 e 13 infecções, respectivamente.</w:t>
      </w:r>
    </w:p>
    <w:p w14:paraId="4923BC15" w14:textId="77777777" w:rsidR="000840DB" w:rsidRPr="000840DB" w:rsidRDefault="000840DB" w:rsidP="000840DB">
      <w:pPr>
        <w:widowControl/>
        <w:adjustRightInd w:val="0"/>
        <w:rPr>
          <w:rFonts w:ascii="Arial" w:eastAsiaTheme="minorHAnsi" w:hAnsi="Arial" w:cs="Arial"/>
          <w:i/>
          <w:iCs/>
        </w:rPr>
      </w:pPr>
    </w:p>
    <w:p w14:paraId="7AF33DAE" w14:textId="77777777" w:rsidR="000840DB" w:rsidRPr="000840DB" w:rsidRDefault="000840DB" w:rsidP="000840DB">
      <w:pPr>
        <w:widowControl/>
        <w:adjustRightInd w:val="0"/>
        <w:rPr>
          <w:i/>
          <w:iCs/>
          <w:rFonts w:ascii="Arial" w:eastAsiaTheme="minorHAnsi" w:hAnsi="Arial" w:cs="Arial"/>
        </w:rPr>
      </w:pPr>
      <w:r>
        <w:rPr>
          <w:i/>
          <w:rFonts w:ascii="Arial" w:hAnsi="Arial"/>
        </w:rPr>
        <w:t xml:space="preserve">O departamento provincial de saúde registrou um aumento de 100% nos casos de febre tifoide em janeiro de 2025, com 80 infecções em comparação com 40 no mesmo mês em 2024.</w:t>
      </w:r>
      <w:r>
        <w:rPr>
          <w:i/>
          <w:rFonts w:ascii="Arial" w:hAnsi="Arial"/>
        </w:rPr>
        <w:t xml:space="preserve"> </w:t>
      </w:r>
    </w:p>
    <w:p w14:paraId="60923B10" w14:textId="77777777" w:rsidR="000840DB" w:rsidRPr="000840DB" w:rsidRDefault="000840DB" w:rsidP="000840DB">
      <w:pPr>
        <w:widowControl/>
        <w:adjustRightInd w:val="0"/>
        <w:rPr>
          <w:rFonts w:ascii="Arial" w:eastAsiaTheme="minorHAnsi" w:hAnsi="Arial" w:cs="Arial"/>
          <w:i/>
          <w:iCs/>
        </w:rPr>
      </w:pPr>
    </w:p>
    <w:p w14:paraId="6E81FFE9" w14:textId="690D96DA" w:rsidR="000840DB" w:rsidRPr="000840DB" w:rsidRDefault="000840DB" w:rsidP="000840DB">
      <w:pPr>
        <w:widowControl/>
        <w:adjustRightInd w:val="0"/>
        <w:rPr>
          <w:i/>
          <w:iCs/>
          <w:rFonts w:ascii="Arial" w:eastAsiaTheme="minorHAnsi" w:hAnsi="Arial" w:cs="Arial"/>
        </w:rPr>
      </w:pPr>
      <w:r>
        <w:rPr>
          <w:i/>
          <w:rFonts w:ascii="Arial" w:hAnsi="Arial"/>
        </w:rPr>
        <w:t xml:space="preserve">A doença, causada pela bactéria Salmonella typhi, é normalmente contraída por meio de alimentos e água contaminados.</w:t>
      </w:r>
      <w:r>
        <w:rPr>
          <w:i/>
          <w:rFonts w:ascii="Arial" w:hAnsi="Arial"/>
        </w:rPr>
        <w:t xml:space="preserve">  </w:t>
      </w:r>
      <w:r>
        <w:rPr>
          <w:i/>
          <w:rFonts w:ascii="Arial" w:hAnsi="Arial"/>
        </w:rPr>
        <w:t xml:space="preserve">Os sintomas da febre tifoide geralmente aparecem de 8 a 14 dias após a infecção, embora os casos possam permanecer sem serem detectados por até 30 dias, disseram autoridades de saúde.</w:t>
      </w:r>
    </w:p>
    <w:p w14:paraId="0C4372CD" w14:textId="77777777" w:rsidR="000840DB" w:rsidRPr="000840DB" w:rsidRDefault="000840DB" w:rsidP="000840DB">
      <w:pPr>
        <w:widowControl/>
        <w:adjustRightInd w:val="0"/>
        <w:rPr>
          <w:rFonts w:ascii="Arial" w:eastAsiaTheme="minorHAnsi" w:hAnsi="Arial" w:cs="Arial"/>
          <w:i/>
          <w:iCs/>
        </w:rPr>
      </w:pPr>
    </w:p>
    <w:p w14:paraId="1297DE32" w14:textId="06CFCAB5" w:rsidR="000840DB" w:rsidRPr="000840DB" w:rsidRDefault="000840DB" w:rsidP="000840DB">
      <w:pPr>
        <w:widowControl/>
        <w:adjustRightInd w:val="0"/>
        <w:rPr>
          <w:i/>
          <w:iCs/>
          <w:rFonts w:ascii="Arial" w:eastAsiaTheme="minorHAnsi" w:hAnsi="Arial" w:cs="Arial"/>
        </w:rPr>
      </w:pPr>
      <w:r>
        <w:rPr>
          <w:i/>
          <w:rFonts w:ascii="Arial" w:hAnsi="Arial"/>
        </w:rPr>
        <w:t xml:space="preserve">Aliás, algumas áreas em Negros Occidental também têm enfrentado dificuldades com o abastecimento de água potável devido à contaminação sulfúrica ligada às erupções do vulcão Kanlaon em 2024, agravando as preocupações sobre a propagação da febre tifoide.</w:t>
      </w:r>
    </w:p>
    <w:p w14:paraId="6733CEB9" w14:textId="77777777" w:rsidR="000840DB" w:rsidRPr="000840DB" w:rsidRDefault="000840DB" w:rsidP="000840DB">
      <w:pPr>
        <w:widowControl/>
        <w:adjustRightInd w:val="0"/>
        <w:spacing w:after="40"/>
        <w:jc w:val="center"/>
        <w:rPr>
          <w:rFonts w:ascii="Arial" w:eastAsiaTheme="minorHAnsi" w:hAnsi="Arial" w:cs="Arial"/>
          <w:b/>
          <w:bCs/>
          <w:i/>
          <w:iCs/>
        </w:rPr>
      </w:pPr>
    </w:p>
    <w:p w14:paraId="498E6FA4" w14:textId="5AEA35CD" w:rsidR="000840DB" w:rsidRDefault="000840DB" w:rsidP="000840DB">
      <w:pPr>
        <w:widowControl/>
        <w:adjustRightInd w:val="0"/>
        <w:rPr>
          <w:i/>
          <w:iCs/>
          <w:rFonts w:ascii="Arial" w:eastAsiaTheme="minorHAnsi" w:hAnsi="Arial" w:cs="Arial"/>
        </w:rPr>
      </w:pPr>
      <w:r>
        <w:rPr>
          <w:i/>
          <w:rFonts w:ascii="Arial" w:hAnsi="Arial"/>
        </w:rPr>
        <w:t xml:space="preserve">A febre tifoide é mais comum durante a estação chuvosa, mas as autoridades disseram que duas mortes somente em janeiro foram alarmantes.</w:t>
      </w:r>
    </w:p>
    <w:p w14:paraId="22D007D3" w14:textId="77777777" w:rsidR="00157613" w:rsidRPr="000840DB" w:rsidRDefault="00157613" w:rsidP="000840DB">
      <w:pPr>
        <w:widowControl/>
        <w:adjustRightInd w:val="0"/>
        <w:rPr>
          <w:rFonts w:ascii="Arial" w:eastAsiaTheme="minorHAnsi" w:hAnsi="Arial" w:cs="Arial"/>
          <w:i/>
          <w:iCs/>
        </w:rPr>
      </w:pPr>
    </w:p>
    <w:p w14:paraId="785DB7A6" w14:textId="334E7705" w:rsidR="000840DB" w:rsidRDefault="000840DB" w:rsidP="000840DB">
      <w:pPr>
        <w:widowControl/>
        <w:adjustRightInd w:val="0"/>
        <w:rPr>
          <w:i/>
          <w:iCs/>
          <w:rFonts w:ascii="Arial" w:eastAsiaTheme="minorHAnsi" w:hAnsi="Arial" w:cs="Arial"/>
        </w:rPr>
      </w:pPr>
      <w:r>
        <w:rPr>
          <w:i/>
          <w:rFonts w:ascii="Arial" w:hAnsi="Arial"/>
        </w:rPr>
        <w:t xml:space="preserve">A Dra. Girlie Pinongan, autoridade provincial de saúde, pediu aos moradores que evitassem beber água não tratada, cozinhassem bem os alimentos e consumissem as refeições dentro de quatro horas após o preparo.</w:t>
      </w:r>
      <w:r>
        <w:rPr>
          <w:i/>
          <w:rFonts w:ascii="Arial" w:hAnsi="Arial"/>
        </w:rPr>
        <w:t xml:space="preserve"> </w:t>
      </w:r>
      <w:r>
        <w:rPr>
          <w:i/>
          <w:rFonts w:ascii="Arial" w:hAnsi="Arial"/>
        </w:rPr>
        <w:t xml:space="preserve">Ela também alertou contra o consumo de alimentos não higiênicos e de rua…</w:t>
      </w:r>
    </w:p>
    <w:p w14:paraId="1BAF12FA" w14:textId="77777777" w:rsidR="00572566" w:rsidRPr="000840DB" w:rsidRDefault="00572566" w:rsidP="000840DB">
      <w:pPr>
        <w:widowControl/>
        <w:adjustRightInd w:val="0"/>
        <w:rPr>
          <w:rFonts w:ascii="Arial" w:eastAsiaTheme="minorHAnsi" w:hAnsi="Arial" w:cs="Arial"/>
          <w:i/>
          <w:iCs/>
        </w:rPr>
      </w:pPr>
    </w:p>
    <w:p w14:paraId="51D6E069" w14:textId="489ACF7B" w:rsidR="00A73CC3" w:rsidRDefault="00572566" w:rsidP="00572566">
      <w:pPr>
        <w:widowControl/>
        <w:adjustRightInd w:val="0"/>
        <w:rPr>
          <w:i/>
          <w:iCs/>
          <w:rFonts w:ascii="Arial" w:eastAsiaTheme="minorHAnsi" w:hAnsi="Arial" w:cs="Arial"/>
        </w:rPr>
      </w:pPr>
      <w:r>
        <w:rPr>
          <w:i/>
          <w:rFonts w:ascii="Arial" w:hAnsi="Arial"/>
        </w:rPr>
        <w:t xml:space="preserve">…Com o acesso à vacina ainda limitado, o DOH pediu ao público que mantenha uma higiene adequada, consuma alimentos seguros e beba água limpa para prevenir infecções…</w:t>
      </w:r>
    </w:p>
    <w:p w14:paraId="380213A2" w14:textId="77777777" w:rsidR="00A73CC3" w:rsidRDefault="00A73CC3" w:rsidP="000840DB">
      <w:pPr>
        <w:rPr>
          <w:rFonts w:ascii="Arial" w:eastAsiaTheme="minorHAnsi" w:hAnsi="Arial" w:cs="Arial"/>
          <w:i/>
          <w:iCs/>
        </w:rPr>
      </w:pPr>
    </w:p>
    <w:p w14:paraId="28202D94" w14:textId="6B0D20EA" w:rsidR="00A73CC3" w:rsidRPr="00A73CC3" w:rsidRDefault="00A73CC3" w:rsidP="4D58012B">
      <w:pPr>
        <w:rPr>
          <w:i/>
          <w:iCs/>
          <w:rFonts w:ascii="Arial" w:eastAsiaTheme="minorEastAsia" w:hAnsi="Arial" w:cs="Arial"/>
        </w:rPr>
      </w:pPr>
      <w:r>
        <w:rPr>
          <w:rFonts w:ascii="Arial" w:hAnsi="Arial"/>
        </w:rPr>
        <w:t xml:space="preserve">O artigo original pode ser acessado em: </w:t>
      </w:r>
      <w:hyperlink r:id="rId12">
        <w:r>
          <w:rPr>
            <w:rStyle w:val="Hyperlink"/>
            <w:i/>
            <w:rFonts w:ascii="Arial" w:hAnsi="Arial"/>
          </w:rPr>
          <w:t xml:space="preserve">https://www.rappler.com/philippines/visayas/typhoid-fever-spreads-negros-occidental/</w:t>
        </w:r>
      </w:hyperlink>
      <w:r>
        <w:rPr>
          <w:i/>
          <w:rFonts w:ascii="Arial" w:hAnsi="Arial"/>
        </w:rPr>
        <w:t xml:space="preserve"> </w:t>
      </w:r>
    </w:p>
    <w:sectPr w:rsidR="00A73CC3" w:rsidRPr="00A73CC3" w:rsidSect="0021781B">
      <w:headerReference w:type="default" r:id="rId13"/>
      <w:footerReference w:type="default" r:id="rId14"/>
      <w:headerReference w:type="first" r:id="rId15"/>
      <w:footerReference w:type="first" r:id="rId16"/>
      <w:pgSz w:w="11910" w:h="16840"/>
      <w:pgMar w:top="1575" w:right="960" w:bottom="600" w:left="1090" w:header="690" w:footer="40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DB011" w14:textId="77777777" w:rsidR="0022205B" w:rsidRDefault="0022205B">
      <w:r>
        <w:separator/>
      </w:r>
    </w:p>
  </w:endnote>
  <w:endnote w:type="continuationSeparator" w:id="0">
    <w:p w14:paraId="2CAA94A4" w14:textId="77777777" w:rsidR="0022205B" w:rsidRDefault="0022205B">
      <w:r>
        <w:continuationSeparator/>
      </w:r>
    </w:p>
  </w:endnote>
  <w:endnote w:type="continuationNotice" w:id="1">
    <w:p w14:paraId="70F65FFC" w14:textId="77777777" w:rsidR="0022205B" w:rsidRDefault="002220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ublicSans-Thin">
    <w:altName w:val="Calibri"/>
    <w:charset w:val="4D"/>
    <w:family w:val="auto"/>
    <w:pitch w:val="variable"/>
    <w:sig w:usb0="A00000FF" w:usb1="4000205B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rlowCondensed-SemiBold">
    <w:altName w:val="Calibri"/>
    <w:charset w:val="4D"/>
    <w:family w:val="auto"/>
    <w:pitch w:val="variable"/>
    <w:sig w:usb0="20000007" w:usb1="00000000" w:usb2="00000000" w:usb3="00000000" w:csb0="0000019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D29E1" w14:textId="0EB156C8" w:rsidR="4D58012B" w:rsidRDefault="4D58012B" w:rsidP="4D58012B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4B41CC">
      <w:t>2</w:t>
    </w:r>
    <w:r>
      <w:fldChar w:fldCharType="end"/>
    </w:r>
  </w:p>
  <w:p w14:paraId="7BA6D3C5" w14:textId="47CAD7DF" w:rsidR="008F1ABC" w:rsidRDefault="00433B5C" w:rsidP="00433B5C">
    <w:pPr>
      <w:pStyle w:val="BodyText"/>
      <w:tabs>
        <w:tab w:val="right" w:pos="9414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C7CE8" w14:textId="5765B7CF" w:rsidR="007416C9" w:rsidRPr="0033349A" w:rsidRDefault="007416C9" w:rsidP="007416C9">
    <w:pPr>
      <w:pStyle w:val="Footer"/>
      <w:jc w:val="right"/>
      <w:rPr>
        <w:sz w:val="13"/>
        <w:szCs w:val="13"/>
      </w:rPr>
    </w:pPr>
    <w:r>
      <w:rPr>
        <w:sz w:val="13"/>
      </w:rPr>
      <w:t xml:space="preserve">Secretaria do Programa</w:t>
    </w:r>
  </w:p>
  <w:p w14:paraId="39C8CB47" w14:textId="3B6A214E" w:rsidR="007416C9" w:rsidRDefault="007416C9" w:rsidP="007416C9">
    <w:pPr>
      <w:pStyle w:val="Footer"/>
      <w:jc w:val="right"/>
    </w:pPr>
    <w:r>
      <w:drawing>
        <wp:inline distT="0" distB="0" distL="0" distR="0" wp14:anchorId="68891F04" wp14:editId="5946126D">
          <wp:extent cx="731075" cy="255040"/>
          <wp:effectExtent l="0" t="0" r="0" b="0"/>
          <wp:docPr id="3" name="Picture 3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&#10;&#10;Description automatically generated with medium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181" t="21283" r="11910" b="15686"/>
                  <a:stretch/>
                </pic:blipFill>
                <pic:spPr bwMode="auto">
                  <a:xfrm>
                    <a:off x="0" y="0"/>
                    <a:ext cx="834408" cy="29108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A2090" w14:textId="77777777" w:rsidR="0022205B" w:rsidRPr="00086F3A" w:rsidRDefault="0022205B" w:rsidP="0055419F">
      <w:pPr>
        <w:tabs>
          <w:tab w:val="left" w:pos="1980"/>
        </w:tabs>
        <w:rPr>
          <w:color w:val="98BAD1" w:themeColor="background2" w:themeShade="BF"/>
        </w:rPr>
      </w:pPr>
      <w:r w:rsidRPr="00086F3A">
        <w:rPr>
          <w:rFonts w:ascii="Symbol" w:eastAsia="Symbol" w:hAnsi="Symbol" w:cs="Symbol"/>
          <w:color w:val="98BAD1" w:themeColor="background2" w:themeShade="BF"/>
        </w:rPr>
        <w:t>¾¾¾¾</w:t>
      </w:r>
    </w:p>
  </w:footnote>
  <w:footnote w:type="continuationSeparator" w:id="0">
    <w:p w14:paraId="16BC064F" w14:textId="77777777" w:rsidR="0022205B" w:rsidRDefault="0022205B">
      <w:r>
        <w:continuationSeparator/>
      </w:r>
    </w:p>
  </w:footnote>
  <w:footnote w:type="continuationNotice" w:id="1">
    <w:p w14:paraId="3D995BBA" w14:textId="77777777" w:rsidR="0022205B" w:rsidRDefault="002220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F032" w14:textId="6EFA990A" w:rsidR="00F27AC5" w:rsidRPr="00415E72" w:rsidRDefault="00EB4988" w:rsidP="009948C7">
    <w:pPr>
      <w:spacing w:before="20"/>
      <w:rPr>
        <w:b/>
        <w:color w:val="3BB041" w:themeColor="accent1"/>
        <w:sz w:val="15"/>
        <w:szCs w:val="15"/>
        <w:rFonts w:ascii="Arial" w:hAnsi="Arial" w:cs="Arial"/>
      </w:rPr>
    </w:pPr>
    <w:r>
      <w:rPr>
        <w:b/>
        <w:color w:val="3BB041" w:themeColor="accent1"/>
        <w:sz w:val="15"/>
        <w:rFonts w:ascii="Arial" w:hAnsi="Arial"/>
      </w:rPr>
      <w:t xml:space="preserve">Atividade:</w:t>
    </w:r>
    <w:r>
      <w:rPr>
        <w:b/>
        <w:color w:val="3BB041" w:themeColor="accent1"/>
        <w:sz w:val="15"/>
        <w:rFonts w:ascii="Arial" w:hAnsi="Arial"/>
      </w:rPr>
      <w:t xml:space="preserve"> </w:t>
    </w:r>
    <w:r>
      <w:rPr>
        <w:b/>
        <w:color w:val="3BB041" w:themeColor="accent1"/>
        <w:sz w:val="15"/>
        <w:rFonts w:ascii="Arial" w:hAnsi="Arial"/>
      </w:rPr>
      <w:t xml:space="preserve">7-1-7 e surtos no noticiário</w:t>
    </w:r>
  </w:p>
  <w:p w14:paraId="7287AC93" w14:textId="59F48687" w:rsidR="005E70AC" w:rsidRPr="00276714" w:rsidRDefault="005E70AC" w:rsidP="009948C7">
    <w:pPr>
      <w:spacing w:before="20"/>
      <w:rPr>
        <w:b/>
        <w:sz w:val="18"/>
      </w:rPr>
    </w:pPr>
    <w:r>
      <mc:AlternateContent>
        <mc:Choice Requires="wps">
          <w:drawing>
            <wp:anchor distT="0" distB="0" distL="114300" distR="114300" simplePos="0" relativeHeight="251658240" behindDoc="1" locked="0" layoutInCell="1" allowOverlap="1" wp14:anchorId="14D9BE17" wp14:editId="63577AB6">
              <wp:simplePos x="0" y="0"/>
              <wp:positionH relativeFrom="margin">
                <wp:posOffset>0</wp:posOffset>
              </wp:positionH>
              <wp:positionV relativeFrom="page">
                <wp:posOffset>697067</wp:posOffset>
              </wp:positionV>
              <wp:extent cx="6400800" cy="0"/>
              <wp:effectExtent l="0" t="0" r="12700" b="12700"/>
              <wp:wrapNone/>
              <wp:docPr id="7" name="Lin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CBEC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 xmlns:arto="http://schemas.microsoft.com/office/word/2006/arto">
          <w:pict w14:anchorId="08798122">
            <v:line id="Line 25" style="position:absolute;z-index:-251567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spid="_x0000_s1026" strokecolor="#bcbec0" strokeweight=".5pt" from="0,54.9pt" to="7in,54.9pt" w14:anchorId="72E2FAF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">
              <o:lock v:ext="edit" shapetype="f"/>
              <w10:wrap anchorx="margin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69BB5" w14:textId="54065BA1" w:rsidR="0021781B" w:rsidRPr="00022177" w:rsidRDefault="002C4E83" w:rsidP="0021781B">
    <w:pPr>
      <w:pStyle w:val="Header"/>
      <w:tabs>
        <w:tab w:val="clear" w:pos="9810"/>
        <w:tab w:val="right" w:pos="9860"/>
      </w:tabs>
      <w:rPr>
        <w:rStyle w:val="Heading7Char"/>
      </w:rPr>
    </w:pPr>
    <w:r>
      <w:drawing>
        <wp:inline distT="0" distB="0" distL="0" distR="0" wp14:anchorId="0EC37BB9" wp14:editId="5A3FBD55">
          <wp:extent cx="1778977" cy="287373"/>
          <wp:effectExtent l="0" t="0" r="0" b="5080"/>
          <wp:docPr id="2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977" cy="287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hyperlink r:id="rId2" w:history="1">
      <w:r>
        <w:rPr>
          <w:rStyle w:val="Heading7Char"/>
        </w:rPr>
        <w:t xml:space="preserve">717alliance.org</w:t>
      </w:r>
    </w:hyperlink>
  </w:p>
  <w:p w14:paraId="16CD7015" w14:textId="6251A32E" w:rsidR="000511FA" w:rsidRDefault="000511FA" w:rsidP="0021781B">
    <w:pPr>
      <w:pStyle w:val="Header"/>
      <w:tabs>
        <w:tab w:val="clear" w:pos="9810"/>
        <w:tab w:val="right" w:pos="9860"/>
      </w:tabs>
      <w:rPr>
        <w:b/>
        <w:bCs/>
      </w:rPr>
    </w:pPr>
  </w:p>
  <w:p w14:paraId="70EDF579" w14:textId="35E007C4" w:rsidR="000511FA" w:rsidRDefault="000511FA" w:rsidP="0021781B">
    <w:pPr>
      <w:pStyle w:val="Header"/>
      <w:tabs>
        <w:tab w:val="clear" w:pos="9810"/>
        <w:tab w:val="right" w:pos="9860"/>
      </w:tabs>
    </w:pPr>
    <w:r>
      <mc:AlternateContent>
        <mc:Choice Requires="wps">
          <w:drawing>
            <wp:anchor distT="0" distB="0" distL="114300" distR="114300" simplePos="0" relativeHeight="251658241" behindDoc="0" locked="0" layoutInCell="1" allowOverlap="1" wp14:anchorId="6E96BF18" wp14:editId="652518AF">
              <wp:simplePos x="0" y="0"/>
              <wp:positionH relativeFrom="column">
                <wp:posOffset>-388</wp:posOffset>
              </wp:positionH>
              <wp:positionV relativeFrom="paragraph">
                <wp:posOffset>40944</wp:posOffset>
              </wp:positionV>
              <wp:extent cx="6257677" cy="0"/>
              <wp:effectExtent l="0" t="0" r="16510" b="127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677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 xmlns:arto="http://schemas.microsoft.com/office/word/2006/arto">
          <w:pict w14:anchorId="080F5F18">
            <v:line id="Straight Connector 5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8d8d8 [2732]" strokeweight="1pt" from="-.05pt,3.2pt" to="492.7pt,3.2pt" w14:anchorId="42D7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">
              <v:stroke joinstyle="miter"/>
            </v:line>
          </w:pict>
        </mc:Fallback>
      </mc:AlternateContent>
    </w:r>
  </w:p>
  <w:p w14:paraId="7C5BBC8A" w14:textId="42BDA770" w:rsidR="0021781B" w:rsidRDefault="0021781B" w:rsidP="0021781B">
    <w:pPr>
      <w:pStyle w:val="Header"/>
      <w:tabs>
        <w:tab w:val="clear" w:pos="4680"/>
        <w:tab w:val="clear" w:pos="9810"/>
        <w:tab w:val="left" w:pos="803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841"/>
    <w:multiLevelType w:val="hybridMultilevel"/>
    <w:tmpl w:val="F0DCEF28"/>
    <w:lvl w:ilvl="0" w:tplc="6C50B00E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9F3650D2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11D09D98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510A4D4E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217C0F62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97AE7676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F42E51B8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8D4AD52C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B1CA1D90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1" w15:restartNumberingAfterBreak="0">
    <w:nsid w:val="01AC43F8"/>
    <w:multiLevelType w:val="hybridMultilevel"/>
    <w:tmpl w:val="9E407362"/>
    <w:lvl w:ilvl="0" w:tplc="E9DEA468">
      <w:start w:val="1"/>
      <w:numFmt w:val="upperLetter"/>
      <w:lvlText w:val="%1)"/>
      <w:lvlJc w:val="left"/>
      <w:pPr>
        <w:ind w:left="868" w:hanging="249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spacing w:val="-1"/>
        <w:w w:val="97"/>
        <w:sz w:val="20"/>
        <w:szCs w:val="20"/>
        <w:lang w:val="en-US" w:eastAsia="en-US" w:bidi="ar-SA"/>
      </w:rPr>
    </w:lvl>
    <w:lvl w:ilvl="1" w:tplc="BAE225FA">
      <w:numFmt w:val="bullet"/>
      <w:lvlText w:val="•"/>
      <w:lvlJc w:val="left"/>
      <w:pPr>
        <w:ind w:left="1822" w:hanging="249"/>
      </w:pPr>
      <w:rPr>
        <w:rFonts w:hint="default"/>
        <w:lang w:val="en-US" w:eastAsia="en-US" w:bidi="ar-SA"/>
      </w:rPr>
    </w:lvl>
    <w:lvl w:ilvl="2" w:tplc="3864D64C">
      <w:numFmt w:val="bullet"/>
      <w:lvlText w:val="•"/>
      <w:lvlJc w:val="left"/>
      <w:pPr>
        <w:ind w:left="2785" w:hanging="249"/>
      </w:pPr>
      <w:rPr>
        <w:rFonts w:hint="default"/>
        <w:lang w:val="en-US" w:eastAsia="en-US" w:bidi="ar-SA"/>
      </w:rPr>
    </w:lvl>
    <w:lvl w:ilvl="3" w:tplc="A332436E">
      <w:numFmt w:val="bullet"/>
      <w:lvlText w:val="•"/>
      <w:lvlJc w:val="left"/>
      <w:pPr>
        <w:ind w:left="3747" w:hanging="249"/>
      </w:pPr>
      <w:rPr>
        <w:rFonts w:hint="default"/>
        <w:lang w:val="en-US" w:eastAsia="en-US" w:bidi="ar-SA"/>
      </w:rPr>
    </w:lvl>
    <w:lvl w:ilvl="4" w:tplc="34423A38">
      <w:numFmt w:val="bullet"/>
      <w:lvlText w:val="•"/>
      <w:lvlJc w:val="left"/>
      <w:pPr>
        <w:ind w:left="4710" w:hanging="249"/>
      </w:pPr>
      <w:rPr>
        <w:rFonts w:hint="default"/>
        <w:lang w:val="en-US" w:eastAsia="en-US" w:bidi="ar-SA"/>
      </w:rPr>
    </w:lvl>
    <w:lvl w:ilvl="5" w:tplc="EE2C9E04">
      <w:numFmt w:val="bullet"/>
      <w:lvlText w:val="•"/>
      <w:lvlJc w:val="left"/>
      <w:pPr>
        <w:ind w:left="5672" w:hanging="249"/>
      </w:pPr>
      <w:rPr>
        <w:rFonts w:hint="default"/>
        <w:lang w:val="en-US" w:eastAsia="en-US" w:bidi="ar-SA"/>
      </w:rPr>
    </w:lvl>
    <w:lvl w:ilvl="6" w:tplc="8F041C34">
      <w:numFmt w:val="bullet"/>
      <w:lvlText w:val="•"/>
      <w:lvlJc w:val="left"/>
      <w:pPr>
        <w:ind w:left="6635" w:hanging="249"/>
      </w:pPr>
      <w:rPr>
        <w:rFonts w:hint="default"/>
        <w:lang w:val="en-US" w:eastAsia="en-US" w:bidi="ar-SA"/>
      </w:rPr>
    </w:lvl>
    <w:lvl w:ilvl="7" w:tplc="3E280B9A">
      <w:numFmt w:val="bullet"/>
      <w:lvlText w:val="•"/>
      <w:lvlJc w:val="left"/>
      <w:pPr>
        <w:ind w:left="7597" w:hanging="249"/>
      </w:pPr>
      <w:rPr>
        <w:rFonts w:hint="default"/>
        <w:lang w:val="en-US" w:eastAsia="en-US" w:bidi="ar-SA"/>
      </w:rPr>
    </w:lvl>
    <w:lvl w:ilvl="8" w:tplc="71AE9828">
      <w:numFmt w:val="bullet"/>
      <w:lvlText w:val="•"/>
      <w:lvlJc w:val="left"/>
      <w:pPr>
        <w:ind w:left="8560" w:hanging="249"/>
      </w:pPr>
      <w:rPr>
        <w:rFonts w:hint="default"/>
        <w:lang w:val="en-US" w:eastAsia="en-US" w:bidi="ar-SA"/>
      </w:rPr>
    </w:lvl>
  </w:abstractNum>
  <w:abstractNum w:abstractNumId="2" w15:restartNumberingAfterBreak="0">
    <w:nsid w:val="05177F30"/>
    <w:multiLevelType w:val="hybridMultilevel"/>
    <w:tmpl w:val="964EA4A8"/>
    <w:lvl w:ilvl="0" w:tplc="569057C8">
      <w:start w:val="1"/>
      <w:numFmt w:val="decimal"/>
      <w:pStyle w:val="BoxChartNumberParagraph"/>
      <w:lvlText w:val="%1."/>
      <w:lvlJc w:val="left"/>
      <w:pPr>
        <w:ind w:left="475" w:hanging="259"/>
      </w:pPr>
      <w:rPr>
        <w:rFonts w:ascii="Arial" w:hAnsi="Arial" w:hint="default"/>
        <w:b w:val="0"/>
        <w:i w:val="0"/>
        <w:color w:val="6577BA"/>
        <w:sz w:val="1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108FF"/>
    <w:multiLevelType w:val="hybridMultilevel"/>
    <w:tmpl w:val="AAEA5614"/>
    <w:lvl w:ilvl="0" w:tplc="CC04674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71D45E9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1D2D9C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4A86587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9190C4E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88EC2F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CAACE9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279289C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D2852B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1D4C02"/>
    <w:multiLevelType w:val="hybridMultilevel"/>
    <w:tmpl w:val="6B78369E"/>
    <w:lvl w:ilvl="0" w:tplc="A84A98CC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3B546366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CB6801F0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BA225124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34DEAD10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D7544930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33E09F3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A230A30A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4A7E434E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5" w15:restartNumberingAfterBreak="0">
    <w:nsid w:val="1A490FE0"/>
    <w:multiLevelType w:val="hybridMultilevel"/>
    <w:tmpl w:val="55C28648"/>
    <w:lvl w:ilvl="0" w:tplc="072EE542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90A6A8C0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478A0A5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0E0AD830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2342FF54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DDC4710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83AC0422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DACA03EE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231EBF36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6" w15:restartNumberingAfterBreak="0">
    <w:nsid w:val="1C29038D"/>
    <w:multiLevelType w:val="multilevel"/>
    <w:tmpl w:val="6A70CC6A"/>
    <w:styleLink w:val="CurrentList1"/>
    <w:lvl w:ilvl="0">
      <w:numFmt w:val="bullet"/>
      <w:lvlText w:val="•"/>
      <w:lvlJc w:val="left"/>
      <w:pPr>
        <w:ind w:left="1070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7" w15:restartNumberingAfterBreak="0">
    <w:nsid w:val="23133896"/>
    <w:multiLevelType w:val="hybridMultilevel"/>
    <w:tmpl w:val="1C3207BA"/>
    <w:lvl w:ilvl="0" w:tplc="C95696D6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19FADA6C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0FA21AF2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00BCAEB0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26B8E204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6E16C810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9C82C37E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474EDA4E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8D9E5982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8" w15:restartNumberingAfterBreak="0">
    <w:nsid w:val="280872BB"/>
    <w:multiLevelType w:val="hybridMultilevel"/>
    <w:tmpl w:val="EFB828B8"/>
    <w:lvl w:ilvl="0" w:tplc="8F1A3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E57058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41691"/>
    <w:multiLevelType w:val="hybridMultilevel"/>
    <w:tmpl w:val="C38446D8"/>
    <w:lvl w:ilvl="0" w:tplc="34A889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A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CED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208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5C31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468B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988F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F88F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A218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9E32EEA"/>
    <w:multiLevelType w:val="hybridMultilevel"/>
    <w:tmpl w:val="0426897E"/>
    <w:lvl w:ilvl="0" w:tplc="1C88CCF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48CC43BA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C75EDECA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AB7A15D4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B12C95C6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7000500C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592EAD24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CC4ACE0E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6D38967C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11" w15:restartNumberingAfterBreak="0">
    <w:nsid w:val="2F755923"/>
    <w:multiLevelType w:val="hybridMultilevel"/>
    <w:tmpl w:val="C60E9568"/>
    <w:lvl w:ilvl="0" w:tplc="29420DB2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D8888528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CC90635C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428452FA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C8505008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A452683E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729C24FA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FE42B422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0D304410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12" w15:restartNumberingAfterBreak="0">
    <w:nsid w:val="2FBE5950"/>
    <w:multiLevelType w:val="hybridMultilevel"/>
    <w:tmpl w:val="20BAEF4A"/>
    <w:lvl w:ilvl="0" w:tplc="847AA34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F6EEBFD6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05001D64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D83AD806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DE54FAD8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CB7276F4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E7A677C0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A262FE62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8056F35E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13" w15:restartNumberingAfterBreak="0">
    <w:nsid w:val="3068546E"/>
    <w:multiLevelType w:val="hybridMultilevel"/>
    <w:tmpl w:val="6BA2C442"/>
    <w:lvl w:ilvl="0" w:tplc="ACF0FCF0">
      <w:numFmt w:val="bullet"/>
      <w:lvlText w:val="•"/>
      <w:lvlJc w:val="left"/>
      <w:pPr>
        <w:ind w:left="686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150A78A4">
      <w:numFmt w:val="bullet"/>
      <w:lvlText w:val="•"/>
      <w:lvlJc w:val="left"/>
      <w:pPr>
        <w:ind w:left="1070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2" w:tplc="AF443702">
      <w:numFmt w:val="bullet"/>
      <w:lvlText w:val="•"/>
      <w:lvlJc w:val="left"/>
      <w:pPr>
        <w:ind w:left="962" w:hanging="181"/>
      </w:pPr>
      <w:rPr>
        <w:rFonts w:hint="default"/>
        <w:lang w:val="en-US" w:eastAsia="en-US" w:bidi="ar-SA"/>
      </w:rPr>
    </w:lvl>
    <w:lvl w:ilvl="3" w:tplc="B77A626A">
      <w:numFmt w:val="bullet"/>
      <w:lvlText w:val="•"/>
      <w:lvlJc w:val="left"/>
      <w:pPr>
        <w:ind w:left="844" w:hanging="181"/>
      </w:pPr>
      <w:rPr>
        <w:rFonts w:hint="default"/>
        <w:lang w:val="en-US" w:eastAsia="en-US" w:bidi="ar-SA"/>
      </w:rPr>
    </w:lvl>
    <w:lvl w:ilvl="4" w:tplc="13006D24">
      <w:numFmt w:val="bullet"/>
      <w:lvlText w:val="•"/>
      <w:lvlJc w:val="left"/>
      <w:pPr>
        <w:ind w:left="726" w:hanging="181"/>
      </w:pPr>
      <w:rPr>
        <w:rFonts w:hint="default"/>
        <w:lang w:val="en-US" w:eastAsia="en-US" w:bidi="ar-SA"/>
      </w:rPr>
    </w:lvl>
    <w:lvl w:ilvl="5" w:tplc="9C481B6A">
      <w:numFmt w:val="bullet"/>
      <w:lvlText w:val="•"/>
      <w:lvlJc w:val="left"/>
      <w:pPr>
        <w:ind w:left="608" w:hanging="181"/>
      </w:pPr>
      <w:rPr>
        <w:rFonts w:hint="default"/>
        <w:lang w:val="en-US" w:eastAsia="en-US" w:bidi="ar-SA"/>
      </w:rPr>
    </w:lvl>
    <w:lvl w:ilvl="6" w:tplc="28CC7196">
      <w:numFmt w:val="bullet"/>
      <w:lvlText w:val="•"/>
      <w:lvlJc w:val="left"/>
      <w:pPr>
        <w:ind w:left="490" w:hanging="181"/>
      </w:pPr>
      <w:rPr>
        <w:rFonts w:hint="default"/>
        <w:lang w:val="en-US" w:eastAsia="en-US" w:bidi="ar-SA"/>
      </w:rPr>
    </w:lvl>
    <w:lvl w:ilvl="7" w:tplc="E668DF92">
      <w:numFmt w:val="bullet"/>
      <w:lvlText w:val="•"/>
      <w:lvlJc w:val="left"/>
      <w:pPr>
        <w:ind w:left="372" w:hanging="181"/>
      </w:pPr>
      <w:rPr>
        <w:rFonts w:hint="default"/>
        <w:lang w:val="en-US" w:eastAsia="en-US" w:bidi="ar-SA"/>
      </w:rPr>
    </w:lvl>
    <w:lvl w:ilvl="8" w:tplc="70E691CA">
      <w:numFmt w:val="bullet"/>
      <w:lvlText w:val="•"/>
      <w:lvlJc w:val="left"/>
      <w:pPr>
        <w:ind w:left="254" w:hanging="181"/>
      </w:pPr>
      <w:rPr>
        <w:rFonts w:hint="default"/>
        <w:lang w:val="en-US" w:eastAsia="en-US" w:bidi="ar-SA"/>
      </w:rPr>
    </w:lvl>
  </w:abstractNum>
  <w:abstractNum w:abstractNumId="14" w15:restartNumberingAfterBreak="0">
    <w:nsid w:val="36FF00BB"/>
    <w:multiLevelType w:val="hybridMultilevel"/>
    <w:tmpl w:val="5178B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3586A"/>
    <w:multiLevelType w:val="hybridMultilevel"/>
    <w:tmpl w:val="27EAC968"/>
    <w:lvl w:ilvl="0" w:tplc="36CC904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7AE7FF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68A4E9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23E9AD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FFAE90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3D25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144AAC5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554261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AA2CCA9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E1456B"/>
    <w:multiLevelType w:val="hybridMultilevel"/>
    <w:tmpl w:val="945AAA4E"/>
    <w:lvl w:ilvl="0" w:tplc="2D742FC4">
      <w:numFmt w:val="bullet"/>
      <w:pStyle w:val="SubBulletListParagraph"/>
      <w:lvlText w:val="•"/>
      <w:lvlJc w:val="left"/>
      <w:pPr>
        <w:ind w:left="815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137802"/>
    <w:multiLevelType w:val="hybridMultilevel"/>
    <w:tmpl w:val="E744D320"/>
    <w:lvl w:ilvl="0" w:tplc="9C9ED1AA">
      <w:numFmt w:val="bullet"/>
      <w:pStyle w:val="ListParagraph"/>
      <w:lvlText w:val="•"/>
      <w:lvlJc w:val="left"/>
      <w:pPr>
        <w:ind w:left="451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D9D45"/>
        <w:w w:val="111"/>
        <w:sz w:val="22"/>
        <w:szCs w:val="22"/>
        <w:lang w:val="en-US" w:eastAsia="en-US" w:bidi="ar-SA"/>
      </w:rPr>
    </w:lvl>
    <w:lvl w:ilvl="1" w:tplc="24981EDC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 w:tplc="557611FC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 w:tplc="53FE8CB4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 w:tplc="3A00876A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 w:tplc="93E07150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 w:tplc="ADFC32BA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 w:tplc="7A00C26C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 w:tplc="4A5653A0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18" w15:restartNumberingAfterBreak="0">
    <w:nsid w:val="3CB52540"/>
    <w:multiLevelType w:val="hybridMultilevel"/>
    <w:tmpl w:val="27EAC968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944BD2"/>
    <w:multiLevelType w:val="hybridMultilevel"/>
    <w:tmpl w:val="EC762A8C"/>
    <w:lvl w:ilvl="0" w:tplc="C5447344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7896A0F0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7F067DBA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A6B4ED3C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DAC071CE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56AEBE7E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9E8854DC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0E9CFD6E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E9EA4EF2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20" w15:restartNumberingAfterBreak="0">
    <w:nsid w:val="44872FC8"/>
    <w:multiLevelType w:val="hybridMultilevel"/>
    <w:tmpl w:val="A5AC4B88"/>
    <w:lvl w:ilvl="0" w:tplc="011E29D4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31E848A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2C3A2AD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F72E32FA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EDC8CC78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66AA206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65EC6C7C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2D58CE98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164225D6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21" w15:restartNumberingAfterBreak="0">
    <w:nsid w:val="51E05679"/>
    <w:multiLevelType w:val="hybridMultilevel"/>
    <w:tmpl w:val="65BEA2D6"/>
    <w:lvl w:ilvl="0" w:tplc="8D7A1A9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16AC4344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11F08CFA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E7322DEA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CBB68C6A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682CD8BC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48EE31A2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618A6FDA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8F8A2D1C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22" w15:restartNumberingAfterBreak="0">
    <w:nsid w:val="524E44A3"/>
    <w:multiLevelType w:val="hybridMultilevel"/>
    <w:tmpl w:val="AFE69544"/>
    <w:lvl w:ilvl="0" w:tplc="DAB4C892">
      <w:start w:val="1"/>
      <w:numFmt w:val="lowerLetter"/>
      <w:lvlText w:val="%1."/>
      <w:lvlJc w:val="left"/>
      <w:pPr>
        <w:ind w:left="1340" w:hanging="72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w w:val="98"/>
        <w:sz w:val="20"/>
        <w:szCs w:val="20"/>
        <w:lang w:val="en-US" w:eastAsia="en-US" w:bidi="ar-SA"/>
      </w:rPr>
    </w:lvl>
    <w:lvl w:ilvl="1" w:tplc="0C72F1AA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2" w:tplc="9A8A0C9E">
      <w:numFmt w:val="bullet"/>
      <w:lvlText w:val="•"/>
      <w:lvlJc w:val="left"/>
      <w:pPr>
        <w:ind w:left="2356" w:hanging="180"/>
      </w:pPr>
      <w:rPr>
        <w:rFonts w:hint="default"/>
        <w:lang w:val="en-US" w:eastAsia="en-US" w:bidi="ar-SA"/>
      </w:rPr>
    </w:lvl>
    <w:lvl w:ilvl="3" w:tplc="777E9BBE">
      <w:numFmt w:val="bullet"/>
      <w:lvlText w:val="•"/>
      <w:lvlJc w:val="left"/>
      <w:pPr>
        <w:ind w:left="3372" w:hanging="180"/>
      </w:pPr>
      <w:rPr>
        <w:rFonts w:hint="default"/>
        <w:lang w:val="en-US" w:eastAsia="en-US" w:bidi="ar-SA"/>
      </w:rPr>
    </w:lvl>
    <w:lvl w:ilvl="4" w:tplc="2F3C9F1A">
      <w:numFmt w:val="bullet"/>
      <w:lvlText w:val="•"/>
      <w:lvlJc w:val="left"/>
      <w:pPr>
        <w:ind w:left="4388" w:hanging="180"/>
      </w:pPr>
      <w:rPr>
        <w:rFonts w:hint="default"/>
        <w:lang w:val="en-US" w:eastAsia="en-US" w:bidi="ar-SA"/>
      </w:rPr>
    </w:lvl>
    <w:lvl w:ilvl="5" w:tplc="103071C4">
      <w:numFmt w:val="bullet"/>
      <w:lvlText w:val="•"/>
      <w:lvlJc w:val="left"/>
      <w:pPr>
        <w:ind w:left="5404" w:hanging="180"/>
      </w:pPr>
      <w:rPr>
        <w:rFonts w:hint="default"/>
        <w:lang w:val="en-US" w:eastAsia="en-US" w:bidi="ar-SA"/>
      </w:rPr>
    </w:lvl>
    <w:lvl w:ilvl="6" w:tplc="D84A15F2">
      <w:numFmt w:val="bullet"/>
      <w:lvlText w:val="•"/>
      <w:lvlJc w:val="left"/>
      <w:pPr>
        <w:ind w:left="6420" w:hanging="180"/>
      </w:pPr>
      <w:rPr>
        <w:rFonts w:hint="default"/>
        <w:lang w:val="en-US" w:eastAsia="en-US" w:bidi="ar-SA"/>
      </w:rPr>
    </w:lvl>
    <w:lvl w:ilvl="7" w:tplc="312E2AF2">
      <w:numFmt w:val="bullet"/>
      <w:lvlText w:val="•"/>
      <w:lvlJc w:val="left"/>
      <w:pPr>
        <w:ind w:left="7437" w:hanging="180"/>
      </w:pPr>
      <w:rPr>
        <w:rFonts w:hint="default"/>
        <w:lang w:val="en-US" w:eastAsia="en-US" w:bidi="ar-SA"/>
      </w:rPr>
    </w:lvl>
    <w:lvl w:ilvl="8" w:tplc="CBA87AFC">
      <w:numFmt w:val="bullet"/>
      <w:lvlText w:val="•"/>
      <w:lvlJc w:val="left"/>
      <w:pPr>
        <w:ind w:left="8453" w:hanging="180"/>
      </w:pPr>
      <w:rPr>
        <w:rFonts w:hint="default"/>
        <w:lang w:val="en-US" w:eastAsia="en-US" w:bidi="ar-SA"/>
      </w:rPr>
    </w:lvl>
  </w:abstractNum>
  <w:abstractNum w:abstractNumId="23" w15:restartNumberingAfterBreak="0">
    <w:nsid w:val="525126C3"/>
    <w:multiLevelType w:val="hybridMultilevel"/>
    <w:tmpl w:val="6F30FD40"/>
    <w:lvl w:ilvl="0" w:tplc="280EF654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9FBC91A2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5C602E5C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EDC2D4B0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1B3C20F6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BF20CBF4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C7627870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CB727AD8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3D101F8C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24" w15:restartNumberingAfterBreak="0">
    <w:nsid w:val="57005CAB"/>
    <w:multiLevelType w:val="hybridMultilevel"/>
    <w:tmpl w:val="A730763A"/>
    <w:lvl w:ilvl="0" w:tplc="2CDC39C2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B8873D6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7C72B444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0744FA56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8068A016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13807494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D5F6C1F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D23289C6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18A4C1A2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25" w15:restartNumberingAfterBreak="0">
    <w:nsid w:val="597E6CCD"/>
    <w:multiLevelType w:val="hybridMultilevel"/>
    <w:tmpl w:val="7572258A"/>
    <w:lvl w:ilvl="0" w:tplc="8B2A34C2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53F6988A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72DE079C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3FD081BA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2578F65C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F1E6A18A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D9B23FA0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3496B588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C1BE44E4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26" w15:restartNumberingAfterBreak="0">
    <w:nsid w:val="5A786438"/>
    <w:multiLevelType w:val="hybridMultilevel"/>
    <w:tmpl w:val="ED5478EE"/>
    <w:lvl w:ilvl="0" w:tplc="C8223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3CBED2">
      <w:start w:val="6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8BE1D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CE6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206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4EE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4AD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D66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27F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BB20B0E"/>
    <w:multiLevelType w:val="hybridMultilevel"/>
    <w:tmpl w:val="B5E83E94"/>
    <w:lvl w:ilvl="0" w:tplc="20D04D6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37C35A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E0B4D5C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480DE1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01AB4A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70CFD8A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B26A75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2C848C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75EBB9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276EC2"/>
    <w:multiLevelType w:val="hybridMultilevel"/>
    <w:tmpl w:val="C3263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A749F0"/>
    <w:multiLevelType w:val="hybridMultilevel"/>
    <w:tmpl w:val="918882AE"/>
    <w:lvl w:ilvl="0" w:tplc="26F612C2">
      <w:start w:val="1"/>
      <w:numFmt w:val="decimal"/>
      <w:pStyle w:val="RTSLNumberParagraph"/>
      <w:lvlText w:val="%1."/>
      <w:lvlJc w:val="left"/>
      <w:pPr>
        <w:ind w:left="648" w:hanging="360"/>
      </w:pPr>
      <w:rPr>
        <w:rFonts w:ascii="Arial" w:hAnsi="Arial" w:hint="default"/>
        <w:b/>
        <w:i w:val="0"/>
        <w:color w:val="3BB041" w:themeColor="accent1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660567"/>
    <w:multiLevelType w:val="hybridMultilevel"/>
    <w:tmpl w:val="EF0C53E8"/>
    <w:lvl w:ilvl="0" w:tplc="7B246F64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C3FE638C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75BAFE1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593CBFAA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93664598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5E1A6C74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19F04C2A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501A69F0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783E4F20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31" w15:restartNumberingAfterBreak="0">
    <w:nsid w:val="65332562"/>
    <w:multiLevelType w:val="multilevel"/>
    <w:tmpl w:val="04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7FF6EE2"/>
    <w:multiLevelType w:val="hybridMultilevel"/>
    <w:tmpl w:val="522E2EF2"/>
    <w:lvl w:ilvl="0" w:tplc="5EAC767C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05B418D0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6C125D12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12466AD2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6A887FEC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1308908A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8F8EBA80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46A0C358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A9107C04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33" w15:restartNumberingAfterBreak="0">
    <w:nsid w:val="69831D29"/>
    <w:multiLevelType w:val="multilevel"/>
    <w:tmpl w:val="04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FB8252C"/>
    <w:multiLevelType w:val="multilevel"/>
    <w:tmpl w:val="04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4FE1320"/>
    <w:multiLevelType w:val="hybridMultilevel"/>
    <w:tmpl w:val="E342FC14"/>
    <w:lvl w:ilvl="0" w:tplc="19321858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53600430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EDBE2AF4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17BE58B8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F566E37E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05746C58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0C6E346E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AA585B5C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49FE0434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36" w15:restartNumberingAfterBreak="0">
    <w:nsid w:val="783F5433"/>
    <w:multiLevelType w:val="hybridMultilevel"/>
    <w:tmpl w:val="BB146946"/>
    <w:lvl w:ilvl="0" w:tplc="2CC04986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E67EEC98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0A269A0E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95BE4936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FE2EE1F8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ACAE23BC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34F28D18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6D06144A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A88EBF7E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37" w15:restartNumberingAfterBreak="0">
    <w:nsid w:val="78897E52"/>
    <w:multiLevelType w:val="hybridMultilevel"/>
    <w:tmpl w:val="E63E5E28"/>
    <w:lvl w:ilvl="0" w:tplc="95348CFC">
      <w:numFmt w:val="bullet"/>
      <w:pStyle w:val="SubBulletBoxChartListParagraph"/>
      <w:lvlText w:val="•"/>
      <w:lvlJc w:val="left"/>
      <w:pPr>
        <w:ind w:left="714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C30C8F"/>
    <w:multiLevelType w:val="multilevel"/>
    <w:tmpl w:val="5F883F04"/>
    <w:styleLink w:val="CurrentList2"/>
    <w:lvl w:ilvl="0">
      <w:start w:val="1"/>
      <w:numFmt w:val="decimal"/>
      <w:lvlText w:val="%1."/>
      <w:lvlJc w:val="left"/>
      <w:pPr>
        <w:ind w:left="864" w:hanging="360"/>
      </w:pPr>
      <w:rPr>
        <w:rFonts w:ascii="Arial" w:hAnsi="Arial" w:hint="default"/>
        <w:b/>
        <w:i w:val="0"/>
        <w:color w:val="606EA5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D36210"/>
    <w:multiLevelType w:val="hybridMultilevel"/>
    <w:tmpl w:val="B8DA0814"/>
    <w:lvl w:ilvl="0" w:tplc="68F2834A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6669DEE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2B8271FC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64F21CF0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72244C12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4BC3782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D9AE6B98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26DAD6E2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56B00514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40" w15:restartNumberingAfterBreak="0">
    <w:nsid w:val="7BFC3622"/>
    <w:multiLevelType w:val="hybridMultilevel"/>
    <w:tmpl w:val="046ADA64"/>
    <w:lvl w:ilvl="0" w:tplc="B3427D88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40321ABE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5F247988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C4A80D02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441AFE4A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FB1AB53A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07F22AC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933E46E4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2FBCC3E4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41" w15:restartNumberingAfterBreak="0">
    <w:nsid w:val="7C9F23D8"/>
    <w:multiLevelType w:val="hybridMultilevel"/>
    <w:tmpl w:val="801AF664"/>
    <w:lvl w:ilvl="0" w:tplc="F13AE26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9D1CBAA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3DB0091C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A20000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8BB0432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C9A09C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49E06F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C16FB0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038416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53673250">
    <w:abstractNumId w:val="11"/>
  </w:num>
  <w:num w:numId="2" w16cid:durableId="980501441">
    <w:abstractNumId w:val="22"/>
  </w:num>
  <w:num w:numId="3" w16cid:durableId="1918587412">
    <w:abstractNumId w:val="19"/>
  </w:num>
  <w:num w:numId="4" w16cid:durableId="726535322">
    <w:abstractNumId w:val="1"/>
  </w:num>
  <w:num w:numId="5" w16cid:durableId="198326693">
    <w:abstractNumId w:val="23"/>
  </w:num>
  <w:num w:numId="6" w16cid:durableId="836774964">
    <w:abstractNumId w:val="30"/>
  </w:num>
  <w:num w:numId="7" w16cid:durableId="1849638365">
    <w:abstractNumId w:val="40"/>
  </w:num>
  <w:num w:numId="8" w16cid:durableId="38364128">
    <w:abstractNumId w:val="24"/>
  </w:num>
  <w:num w:numId="9" w16cid:durableId="350298055">
    <w:abstractNumId w:val="4"/>
  </w:num>
  <w:num w:numId="10" w16cid:durableId="780339416">
    <w:abstractNumId w:val="10"/>
  </w:num>
  <w:num w:numId="11" w16cid:durableId="1767769205">
    <w:abstractNumId w:val="20"/>
  </w:num>
  <w:num w:numId="12" w16cid:durableId="974869584">
    <w:abstractNumId w:val="36"/>
  </w:num>
  <w:num w:numId="13" w16cid:durableId="195310959">
    <w:abstractNumId w:val="32"/>
  </w:num>
  <w:num w:numId="14" w16cid:durableId="569385742">
    <w:abstractNumId w:val="5"/>
  </w:num>
  <w:num w:numId="15" w16cid:durableId="2044818288">
    <w:abstractNumId w:val="0"/>
  </w:num>
  <w:num w:numId="16" w16cid:durableId="841621499">
    <w:abstractNumId w:val="21"/>
  </w:num>
  <w:num w:numId="17" w16cid:durableId="202720826">
    <w:abstractNumId w:val="39"/>
  </w:num>
  <w:num w:numId="18" w16cid:durableId="605431108">
    <w:abstractNumId w:val="7"/>
  </w:num>
  <w:num w:numId="19" w16cid:durableId="1928617086">
    <w:abstractNumId w:val="12"/>
  </w:num>
  <w:num w:numId="20" w16cid:durableId="1319730599">
    <w:abstractNumId w:val="35"/>
  </w:num>
  <w:num w:numId="21" w16cid:durableId="2094816373">
    <w:abstractNumId w:val="25"/>
  </w:num>
  <w:num w:numId="22" w16cid:durableId="2090154401">
    <w:abstractNumId w:val="13"/>
  </w:num>
  <w:num w:numId="23" w16cid:durableId="1027754642">
    <w:abstractNumId w:val="17"/>
  </w:num>
  <w:num w:numId="24" w16cid:durableId="181482799">
    <w:abstractNumId w:val="8"/>
  </w:num>
  <w:num w:numId="25" w16cid:durableId="1112288598">
    <w:abstractNumId w:val="2"/>
  </w:num>
  <w:num w:numId="26" w16cid:durableId="883563352">
    <w:abstractNumId w:val="2"/>
    <w:lvlOverride w:ilvl="0">
      <w:startOverride w:val="1"/>
    </w:lvlOverride>
  </w:num>
  <w:num w:numId="27" w16cid:durableId="312685843">
    <w:abstractNumId w:val="2"/>
    <w:lvlOverride w:ilvl="0">
      <w:startOverride w:val="1"/>
    </w:lvlOverride>
  </w:num>
  <w:num w:numId="28" w16cid:durableId="733939610">
    <w:abstractNumId w:val="2"/>
    <w:lvlOverride w:ilvl="0">
      <w:startOverride w:val="1"/>
    </w:lvlOverride>
  </w:num>
  <w:num w:numId="29" w16cid:durableId="762265589">
    <w:abstractNumId w:val="2"/>
    <w:lvlOverride w:ilvl="0">
      <w:startOverride w:val="1"/>
    </w:lvlOverride>
  </w:num>
  <w:num w:numId="30" w16cid:durableId="1578437548">
    <w:abstractNumId w:val="29"/>
  </w:num>
  <w:num w:numId="31" w16cid:durableId="1880125358">
    <w:abstractNumId w:val="9"/>
  </w:num>
  <w:num w:numId="32" w16cid:durableId="1696468453">
    <w:abstractNumId w:val="6"/>
  </w:num>
  <w:num w:numId="33" w16cid:durableId="95685334">
    <w:abstractNumId w:val="38"/>
  </w:num>
  <w:num w:numId="34" w16cid:durableId="1068960500">
    <w:abstractNumId w:val="34"/>
  </w:num>
  <w:num w:numId="35" w16cid:durableId="1298486937">
    <w:abstractNumId w:val="33"/>
  </w:num>
  <w:num w:numId="36" w16cid:durableId="299116789">
    <w:abstractNumId w:val="37"/>
  </w:num>
  <w:num w:numId="37" w16cid:durableId="1027371121">
    <w:abstractNumId w:val="31"/>
  </w:num>
  <w:num w:numId="38" w16cid:durableId="2059081940">
    <w:abstractNumId w:val="16"/>
  </w:num>
  <w:num w:numId="39" w16cid:durableId="708457108">
    <w:abstractNumId w:val="29"/>
    <w:lvlOverride w:ilvl="0">
      <w:startOverride w:val="1"/>
    </w:lvlOverride>
  </w:num>
  <w:num w:numId="40" w16cid:durableId="1879581872">
    <w:abstractNumId w:val="14"/>
  </w:num>
  <w:num w:numId="41" w16cid:durableId="888300529">
    <w:abstractNumId w:val="41"/>
  </w:num>
  <w:num w:numId="42" w16cid:durableId="1608123203">
    <w:abstractNumId w:val="27"/>
  </w:num>
  <w:num w:numId="43" w16cid:durableId="213737036">
    <w:abstractNumId w:val="3"/>
  </w:num>
  <w:num w:numId="44" w16cid:durableId="1674910618">
    <w:abstractNumId w:val="15"/>
  </w:num>
  <w:num w:numId="45" w16cid:durableId="794831442">
    <w:abstractNumId w:val="18"/>
  </w:num>
  <w:num w:numId="46" w16cid:durableId="2140419601">
    <w:abstractNumId w:val="28"/>
  </w:num>
  <w:num w:numId="47" w16cid:durableId="138918249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dirty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ABC"/>
    <w:rsid w:val="00000BF0"/>
    <w:rsid w:val="00021AA8"/>
    <w:rsid w:val="00022177"/>
    <w:rsid w:val="00022587"/>
    <w:rsid w:val="000511FA"/>
    <w:rsid w:val="000556FF"/>
    <w:rsid w:val="000653A0"/>
    <w:rsid w:val="0006727E"/>
    <w:rsid w:val="00075A53"/>
    <w:rsid w:val="000840DB"/>
    <w:rsid w:val="00086F3A"/>
    <w:rsid w:val="00094308"/>
    <w:rsid w:val="0009471C"/>
    <w:rsid w:val="00097C3C"/>
    <w:rsid w:val="000A1E53"/>
    <w:rsid w:val="000A3FFF"/>
    <w:rsid w:val="000A46A3"/>
    <w:rsid w:val="000A4DEC"/>
    <w:rsid w:val="000A6887"/>
    <w:rsid w:val="000C531D"/>
    <w:rsid w:val="000C75CE"/>
    <w:rsid w:val="000D3EC6"/>
    <w:rsid w:val="000D6B55"/>
    <w:rsid w:val="000E4269"/>
    <w:rsid w:val="001034B0"/>
    <w:rsid w:val="00107852"/>
    <w:rsid w:val="001348B3"/>
    <w:rsid w:val="001358BB"/>
    <w:rsid w:val="00142B90"/>
    <w:rsid w:val="0014614D"/>
    <w:rsid w:val="00157613"/>
    <w:rsid w:val="00173A6A"/>
    <w:rsid w:val="00174229"/>
    <w:rsid w:val="00186D06"/>
    <w:rsid w:val="00193F87"/>
    <w:rsid w:val="001A4541"/>
    <w:rsid w:val="001A75A3"/>
    <w:rsid w:val="001B0BC7"/>
    <w:rsid w:val="001B0F34"/>
    <w:rsid w:val="001E0A48"/>
    <w:rsid w:val="001E106E"/>
    <w:rsid w:val="001F443D"/>
    <w:rsid w:val="002152C1"/>
    <w:rsid w:val="0021781B"/>
    <w:rsid w:val="0022205B"/>
    <w:rsid w:val="00243AA6"/>
    <w:rsid w:val="0026325B"/>
    <w:rsid w:val="00276714"/>
    <w:rsid w:val="00293342"/>
    <w:rsid w:val="002A4E26"/>
    <w:rsid w:val="002A4FFE"/>
    <w:rsid w:val="002B2F04"/>
    <w:rsid w:val="002C4E83"/>
    <w:rsid w:val="002D2AF2"/>
    <w:rsid w:val="002F4F66"/>
    <w:rsid w:val="002F5ABD"/>
    <w:rsid w:val="0030648C"/>
    <w:rsid w:val="003134AB"/>
    <w:rsid w:val="0032095F"/>
    <w:rsid w:val="00333046"/>
    <w:rsid w:val="0033349A"/>
    <w:rsid w:val="003401BA"/>
    <w:rsid w:val="00345564"/>
    <w:rsid w:val="003518DB"/>
    <w:rsid w:val="003539DF"/>
    <w:rsid w:val="00372524"/>
    <w:rsid w:val="00376D6C"/>
    <w:rsid w:val="003771F9"/>
    <w:rsid w:val="0038457A"/>
    <w:rsid w:val="003A19A7"/>
    <w:rsid w:val="003A798D"/>
    <w:rsid w:val="003D179B"/>
    <w:rsid w:val="003D5EC9"/>
    <w:rsid w:val="003E064C"/>
    <w:rsid w:val="003E585C"/>
    <w:rsid w:val="004111D8"/>
    <w:rsid w:val="00414600"/>
    <w:rsid w:val="00415E72"/>
    <w:rsid w:val="00422C09"/>
    <w:rsid w:val="00433B5C"/>
    <w:rsid w:val="004436E4"/>
    <w:rsid w:val="00443EAD"/>
    <w:rsid w:val="00454949"/>
    <w:rsid w:val="00455400"/>
    <w:rsid w:val="00465149"/>
    <w:rsid w:val="004702B4"/>
    <w:rsid w:val="004765D5"/>
    <w:rsid w:val="00484BEE"/>
    <w:rsid w:val="00486CE9"/>
    <w:rsid w:val="00496C8A"/>
    <w:rsid w:val="004A39D0"/>
    <w:rsid w:val="004A3E79"/>
    <w:rsid w:val="004B41CC"/>
    <w:rsid w:val="004D1E3C"/>
    <w:rsid w:val="004D2991"/>
    <w:rsid w:val="004E3EF8"/>
    <w:rsid w:val="004F195C"/>
    <w:rsid w:val="00503674"/>
    <w:rsid w:val="0050579B"/>
    <w:rsid w:val="005211DF"/>
    <w:rsid w:val="005243C8"/>
    <w:rsid w:val="00530C0F"/>
    <w:rsid w:val="00542638"/>
    <w:rsid w:val="0055419F"/>
    <w:rsid w:val="00561973"/>
    <w:rsid w:val="00570596"/>
    <w:rsid w:val="00572566"/>
    <w:rsid w:val="0057594C"/>
    <w:rsid w:val="00590710"/>
    <w:rsid w:val="00590742"/>
    <w:rsid w:val="0059373D"/>
    <w:rsid w:val="00594C40"/>
    <w:rsid w:val="00595BDC"/>
    <w:rsid w:val="005A0866"/>
    <w:rsid w:val="005A7A72"/>
    <w:rsid w:val="005B09A6"/>
    <w:rsid w:val="005B2F11"/>
    <w:rsid w:val="005B7AE9"/>
    <w:rsid w:val="005C3C52"/>
    <w:rsid w:val="005D14DB"/>
    <w:rsid w:val="005E70AC"/>
    <w:rsid w:val="005E7D01"/>
    <w:rsid w:val="006221AE"/>
    <w:rsid w:val="00646AF2"/>
    <w:rsid w:val="006706E9"/>
    <w:rsid w:val="006749F0"/>
    <w:rsid w:val="00692101"/>
    <w:rsid w:val="00695ED2"/>
    <w:rsid w:val="006A1623"/>
    <w:rsid w:val="006A2BD3"/>
    <w:rsid w:val="006B50CA"/>
    <w:rsid w:val="006C0638"/>
    <w:rsid w:val="006D5727"/>
    <w:rsid w:val="006F57C1"/>
    <w:rsid w:val="00710820"/>
    <w:rsid w:val="0071169E"/>
    <w:rsid w:val="00722166"/>
    <w:rsid w:val="0072302F"/>
    <w:rsid w:val="007416C9"/>
    <w:rsid w:val="00752388"/>
    <w:rsid w:val="0078666F"/>
    <w:rsid w:val="007A698A"/>
    <w:rsid w:val="007D20CC"/>
    <w:rsid w:val="007E0212"/>
    <w:rsid w:val="00800B05"/>
    <w:rsid w:val="0080128D"/>
    <w:rsid w:val="00813DFB"/>
    <w:rsid w:val="0083098F"/>
    <w:rsid w:val="0083675F"/>
    <w:rsid w:val="00882919"/>
    <w:rsid w:val="008B08C0"/>
    <w:rsid w:val="008C398B"/>
    <w:rsid w:val="008D269C"/>
    <w:rsid w:val="008D3E8C"/>
    <w:rsid w:val="008D63CD"/>
    <w:rsid w:val="008D7908"/>
    <w:rsid w:val="008F1ABC"/>
    <w:rsid w:val="008F1E38"/>
    <w:rsid w:val="008F74CB"/>
    <w:rsid w:val="0090340D"/>
    <w:rsid w:val="00907B47"/>
    <w:rsid w:val="00924944"/>
    <w:rsid w:val="0094559E"/>
    <w:rsid w:val="0094728F"/>
    <w:rsid w:val="009733F1"/>
    <w:rsid w:val="00981A61"/>
    <w:rsid w:val="00984B02"/>
    <w:rsid w:val="009948C7"/>
    <w:rsid w:val="009A528F"/>
    <w:rsid w:val="009E665A"/>
    <w:rsid w:val="009E7DC2"/>
    <w:rsid w:val="009F6219"/>
    <w:rsid w:val="00A112F9"/>
    <w:rsid w:val="00A21118"/>
    <w:rsid w:val="00A45E0C"/>
    <w:rsid w:val="00A629D8"/>
    <w:rsid w:val="00A63122"/>
    <w:rsid w:val="00A71188"/>
    <w:rsid w:val="00A73CC3"/>
    <w:rsid w:val="00A75377"/>
    <w:rsid w:val="00A932E8"/>
    <w:rsid w:val="00AA7989"/>
    <w:rsid w:val="00AA7EDD"/>
    <w:rsid w:val="00AC2913"/>
    <w:rsid w:val="00B06E9E"/>
    <w:rsid w:val="00B10F0B"/>
    <w:rsid w:val="00B11B96"/>
    <w:rsid w:val="00B753C0"/>
    <w:rsid w:val="00B93BF5"/>
    <w:rsid w:val="00BB1255"/>
    <w:rsid w:val="00BD350F"/>
    <w:rsid w:val="00BF5950"/>
    <w:rsid w:val="00C533D5"/>
    <w:rsid w:val="00C67336"/>
    <w:rsid w:val="00C761B4"/>
    <w:rsid w:val="00C95406"/>
    <w:rsid w:val="00C96BFB"/>
    <w:rsid w:val="00CB7087"/>
    <w:rsid w:val="00CF0F13"/>
    <w:rsid w:val="00D029C9"/>
    <w:rsid w:val="00D10281"/>
    <w:rsid w:val="00D1628F"/>
    <w:rsid w:val="00D22790"/>
    <w:rsid w:val="00D259CF"/>
    <w:rsid w:val="00D32EAF"/>
    <w:rsid w:val="00D3796E"/>
    <w:rsid w:val="00D40613"/>
    <w:rsid w:val="00D502FE"/>
    <w:rsid w:val="00D61AD2"/>
    <w:rsid w:val="00D62543"/>
    <w:rsid w:val="00D7002D"/>
    <w:rsid w:val="00D863EE"/>
    <w:rsid w:val="00D934F4"/>
    <w:rsid w:val="00DB2C62"/>
    <w:rsid w:val="00DC079A"/>
    <w:rsid w:val="00DC09BD"/>
    <w:rsid w:val="00DD0129"/>
    <w:rsid w:val="00E02DCE"/>
    <w:rsid w:val="00E06416"/>
    <w:rsid w:val="00E23D3A"/>
    <w:rsid w:val="00E2624F"/>
    <w:rsid w:val="00E30046"/>
    <w:rsid w:val="00E33224"/>
    <w:rsid w:val="00E47D09"/>
    <w:rsid w:val="00E744B2"/>
    <w:rsid w:val="00EA2A97"/>
    <w:rsid w:val="00EB2B1B"/>
    <w:rsid w:val="00EB4988"/>
    <w:rsid w:val="00EB763E"/>
    <w:rsid w:val="00EC3F2D"/>
    <w:rsid w:val="00ED2842"/>
    <w:rsid w:val="00ED4498"/>
    <w:rsid w:val="00EE4D44"/>
    <w:rsid w:val="00EE7567"/>
    <w:rsid w:val="00EF20BA"/>
    <w:rsid w:val="00EF30A6"/>
    <w:rsid w:val="00F04B6A"/>
    <w:rsid w:val="00F162E7"/>
    <w:rsid w:val="00F16A89"/>
    <w:rsid w:val="00F27AC5"/>
    <w:rsid w:val="00F55F2B"/>
    <w:rsid w:val="00F70303"/>
    <w:rsid w:val="00F729EB"/>
    <w:rsid w:val="00F813F3"/>
    <w:rsid w:val="00F87666"/>
    <w:rsid w:val="00F901EF"/>
    <w:rsid w:val="00F90DE2"/>
    <w:rsid w:val="00F96D3D"/>
    <w:rsid w:val="00FA767E"/>
    <w:rsid w:val="00FB7B57"/>
    <w:rsid w:val="00FC5CA5"/>
    <w:rsid w:val="00FD2B45"/>
    <w:rsid w:val="00FE0C6F"/>
    <w:rsid w:val="03C1A09B"/>
    <w:rsid w:val="0938DEB3"/>
    <w:rsid w:val="0B6F44EC"/>
    <w:rsid w:val="0BCE022A"/>
    <w:rsid w:val="1F41F6C4"/>
    <w:rsid w:val="22DA416A"/>
    <w:rsid w:val="23B69E50"/>
    <w:rsid w:val="256E1DC3"/>
    <w:rsid w:val="2A28D8D9"/>
    <w:rsid w:val="2DFE7633"/>
    <w:rsid w:val="365E0A64"/>
    <w:rsid w:val="394A3C79"/>
    <w:rsid w:val="4296DC2D"/>
    <w:rsid w:val="4A0609A1"/>
    <w:rsid w:val="4C3B551C"/>
    <w:rsid w:val="4D58012B"/>
    <w:rsid w:val="58AF1FD0"/>
    <w:rsid w:val="5D8625D4"/>
    <w:rsid w:val="5F736A75"/>
    <w:rsid w:val="679BDB62"/>
    <w:rsid w:val="6C968961"/>
    <w:rsid w:val="6F4289D6"/>
    <w:rsid w:val="7511FAE3"/>
    <w:rsid w:val="76FBE1E1"/>
    <w:rsid w:val="7D90880C"/>
    <w:rsid w:val="7F4AB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EC44BF"/>
  <w15:docId w15:val="{FD95C97E-85CA-4532-9A13-517AC425E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rFonts w:ascii="PublicSans-Thin" w:eastAsia="PublicSans-Thin" w:hAnsi="PublicSans-Thin" w:cs="PublicSans-Thin"/>
    </w:rPr>
  </w:style>
  <w:style w:type="paragraph" w:styleId="Heading1">
    <w:name w:val="heading 1"/>
    <w:uiPriority w:val="9"/>
    <w:qFormat/>
    <w:rsid w:val="002F5ABD"/>
    <w:pPr>
      <w:spacing w:before="100" w:after="240"/>
      <w:outlineLvl w:val="0"/>
    </w:pPr>
    <w:rPr>
      <w:rFonts w:ascii="Arial" w:eastAsia="BarlowCondensed-SemiBold" w:hAnsi="Arial" w:cs="Arial"/>
      <w:b/>
      <w:bCs/>
      <w:color w:val="3BB041" w:themeColor="accent1"/>
      <w:sz w:val="36"/>
      <w:szCs w:val="46"/>
    </w:rPr>
  </w:style>
  <w:style w:type="paragraph" w:styleId="Heading2">
    <w:name w:val="heading 2"/>
    <w:next w:val="BodyText"/>
    <w:autoRedefine/>
    <w:uiPriority w:val="9"/>
    <w:unhideWhenUsed/>
    <w:qFormat/>
    <w:rsid w:val="00C95406"/>
    <w:pPr>
      <w:spacing w:before="240" w:after="120" w:line="288" w:lineRule="auto"/>
      <w:outlineLvl w:val="1"/>
    </w:pPr>
    <w:rPr>
      <w:rFonts w:ascii="Arial" w:eastAsia="PublicSans-Thin" w:hAnsi="Arial" w:cs="Arial"/>
      <w:b/>
      <w:color w:val="3BB041" w:themeColor="accent1"/>
      <w:sz w:val="24"/>
    </w:rPr>
  </w:style>
  <w:style w:type="paragraph" w:styleId="Heading3">
    <w:name w:val="heading 3"/>
    <w:uiPriority w:val="9"/>
    <w:unhideWhenUsed/>
    <w:qFormat/>
    <w:rsid w:val="00C95406"/>
    <w:pPr>
      <w:spacing w:before="240" w:after="120" w:line="288" w:lineRule="auto"/>
      <w:outlineLvl w:val="2"/>
    </w:pPr>
    <w:rPr>
      <w:rFonts w:ascii="Arial" w:eastAsia="PublicSans-Thin" w:hAnsi="Arial" w:cs="Arial"/>
      <w:b/>
      <w:color w:val="618393" w:themeColor="text2"/>
      <w:sz w:val="24"/>
      <w:szCs w:val="18"/>
    </w:rPr>
  </w:style>
  <w:style w:type="paragraph" w:styleId="Heading4">
    <w:name w:val="heading 4"/>
    <w:next w:val="Normal"/>
    <w:link w:val="Heading4Char"/>
    <w:uiPriority w:val="9"/>
    <w:unhideWhenUsed/>
    <w:qFormat/>
    <w:rsid w:val="00E33224"/>
    <w:pPr>
      <w:snapToGrid w:val="0"/>
      <w:spacing w:before="240" w:after="120" w:line="288" w:lineRule="auto"/>
      <w:outlineLvl w:val="3"/>
    </w:pPr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styleId="Heading5">
    <w:name w:val="heading 5"/>
    <w:basedOn w:val="Heading4"/>
    <w:next w:val="Normal"/>
    <w:link w:val="Heading5Char"/>
    <w:autoRedefine/>
    <w:uiPriority w:val="9"/>
    <w:unhideWhenUsed/>
    <w:qFormat/>
    <w:rsid w:val="001034B0"/>
    <w:pPr>
      <w:widowControl/>
      <w:autoSpaceDE/>
      <w:autoSpaceDN/>
      <w:ind w:left="144" w:right="144"/>
      <w:outlineLvl w:val="4"/>
    </w:pPr>
    <w:rPr>
      <w:color w:val="618393" w:themeColor="text2"/>
    </w:rPr>
  </w:style>
  <w:style w:type="paragraph" w:styleId="Heading6">
    <w:name w:val="heading 6"/>
    <w:basedOn w:val="BodyText"/>
    <w:next w:val="Normal"/>
    <w:link w:val="Heading6Char"/>
    <w:autoRedefine/>
    <w:uiPriority w:val="9"/>
    <w:unhideWhenUsed/>
    <w:qFormat/>
    <w:rsid w:val="002B2F04"/>
    <w:pPr>
      <w:spacing w:before="240" w:after="120"/>
      <w:outlineLvl w:val="5"/>
    </w:pPr>
    <w:rPr>
      <w:b/>
      <w:color w:val="384D56" w:themeColor="text1"/>
      <w:szCs w:val="1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70303"/>
    <w:pPr>
      <w:keepNext/>
      <w:keepLines/>
      <w:spacing w:before="40"/>
      <w:outlineLvl w:val="6"/>
    </w:pPr>
    <w:rPr>
      <w:rFonts w:ascii="Arial" w:eastAsiaTheme="majorEastAsia" w:hAnsi="Arial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D012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1034B0"/>
    <w:rPr>
      <w:rFonts w:ascii="Arial" w:eastAsia="PublicSans-Thin" w:hAnsi="Arial" w:cs="Arial"/>
      <w:b/>
      <w:color w:val="618393" w:themeColor="text2"/>
      <w:sz w:val="20"/>
      <w:szCs w:val="18"/>
    </w:rPr>
  </w:style>
  <w:style w:type="paragraph" w:styleId="BodyText">
    <w:name w:val="Body Text"/>
    <w:basedOn w:val="Normal"/>
    <w:uiPriority w:val="1"/>
    <w:qFormat/>
    <w:rsid w:val="005E7D01"/>
    <w:pPr>
      <w:widowControl/>
      <w:suppressAutoHyphens/>
      <w:spacing w:after="360" w:line="288" w:lineRule="auto"/>
      <w:ind w:right="446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243AA6"/>
    <w:pPr>
      <w:numPr>
        <w:numId w:val="23"/>
      </w:numPr>
      <w:tabs>
        <w:tab w:val="left" w:pos="450"/>
      </w:tabs>
      <w:spacing w:before="100" w:line="343" w:lineRule="auto"/>
    </w:pPr>
    <w:rPr>
      <w:rFonts w:ascii="Arial" w:hAnsi="Arial" w:cs="Arial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2B2F04"/>
    <w:rPr>
      <w:rFonts w:ascii="Arial" w:eastAsia="PublicSans-Thin" w:hAnsi="Arial" w:cs="Arial"/>
      <w:b/>
      <w:color w:val="384D56" w:themeColor="text1"/>
      <w:sz w:val="20"/>
      <w:szCs w:val="16"/>
    </w:rPr>
  </w:style>
  <w:style w:type="paragraph" w:styleId="Header">
    <w:name w:val="header"/>
    <w:basedOn w:val="Normal"/>
    <w:link w:val="HeaderChar"/>
    <w:uiPriority w:val="99"/>
    <w:unhideWhenUsed/>
    <w:rsid w:val="00907B47"/>
    <w:pPr>
      <w:tabs>
        <w:tab w:val="center" w:pos="4680"/>
        <w:tab w:val="right" w:pos="9810"/>
      </w:tabs>
    </w:pPr>
    <w:rPr>
      <w:rFonts w:ascii="Arial" w:hAnsi="Arial" w:cs="Arial"/>
      <w:color w:val="3D9D45"/>
      <w:sz w:val="14"/>
      <w:szCs w:val="14"/>
    </w:rPr>
  </w:style>
  <w:style w:type="character" w:customStyle="1" w:styleId="HeaderChar">
    <w:name w:val="Header Char"/>
    <w:basedOn w:val="DefaultParagraphFont"/>
    <w:link w:val="Header"/>
    <w:uiPriority w:val="99"/>
    <w:rsid w:val="00907B47"/>
    <w:rPr>
      <w:rFonts w:ascii="Arial" w:eastAsia="PublicSans-Thin" w:hAnsi="Arial" w:cs="Arial"/>
      <w:color w:val="3D9D45"/>
      <w:sz w:val="14"/>
      <w:szCs w:val="14"/>
    </w:rPr>
  </w:style>
  <w:style w:type="paragraph" w:styleId="Footer">
    <w:name w:val="footer"/>
    <w:link w:val="FooterChar"/>
    <w:uiPriority w:val="99"/>
    <w:unhideWhenUsed/>
    <w:rsid w:val="00086F3A"/>
    <w:pPr>
      <w:widowControl/>
      <w:tabs>
        <w:tab w:val="left" w:pos="1440"/>
      </w:tabs>
      <w:spacing w:before="20" w:after="60"/>
      <w:outlineLvl w:val="1"/>
    </w:pPr>
    <w:rPr>
      <w:rFonts w:ascii="Arial" w:eastAsia="PublicSans-Thin" w:hAnsi="Arial" w:cs="Arial"/>
      <w:color w:val="8EAAB6" w:themeColor="text1" w:themeTint="80"/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086F3A"/>
    <w:rPr>
      <w:rFonts w:ascii="Arial" w:eastAsia="PublicSans-Thin" w:hAnsi="Arial" w:cs="Arial"/>
      <w:color w:val="8EAAB6" w:themeColor="text1" w:themeTint="80"/>
      <w:sz w:val="14"/>
    </w:rPr>
  </w:style>
  <w:style w:type="paragraph" w:customStyle="1" w:styleId="NumberParagraph">
    <w:name w:val="Number Paragraph"/>
    <w:basedOn w:val="ListParagraph"/>
    <w:qFormat/>
    <w:rsid w:val="004A3E79"/>
    <w:pPr>
      <w:widowControl/>
      <w:numPr>
        <w:numId w:val="0"/>
      </w:numPr>
      <w:tabs>
        <w:tab w:val="clear" w:pos="450"/>
      </w:tabs>
      <w:autoSpaceDE/>
      <w:autoSpaceDN/>
      <w:spacing w:before="120" w:line="240" w:lineRule="auto"/>
      <w:ind w:left="475" w:hanging="259"/>
    </w:pPr>
    <w:rPr>
      <w:rFonts w:eastAsiaTheme="minorHAnsi" w:cstheme="minorBidi"/>
      <w:color w:val="4D6A77" w:themeColor="text1" w:themeTint="D9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33224"/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customStyle="1" w:styleId="BoxChartText">
    <w:name w:val="Box/Chart Text"/>
    <w:basedOn w:val="BodyText"/>
    <w:rsid w:val="006749F0"/>
    <w:pPr>
      <w:spacing w:after="0" w:line="240" w:lineRule="auto"/>
    </w:pPr>
    <w:rPr>
      <w:sz w:val="16"/>
      <w:szCs w:val="16"/>
    </w:rPr>
  </w:style>
  <w:style w:type="paragraph" w:customStyle="1" w:styleId="BoxChartListParagraph">
    <w:name w:val="Box/Chart List Paragraph"/>
    <w:basedOn w:val="ListParagraph"/>
    <w:rsid w:val="006749F0"/>
    <w:pPr>
      <w:spacing w:before="0" w:line="240" w:lineRule="auto"/>
      <w:ind w:left="461" w:hanging="187"/>
    </w:pPr>
    <w:rPr>
      <w:sz w:val="16"/>
      <w:szCs w:val="16"/>
    </w:rPr>
  </w:style>
  <w:style w:type="paragraph" w:customStyle="1" w:styleId="BoxChartNumberParagraph">
    <w:name w:val="Box/Chart Number Paragraph"/>
    <w:rsid w:val="004A3E79"/>
    <w:pPr>
      <w:numPr>
        <w:numId w:val="25"/>
      </w:numPr>
      <w:spacing w:before="120"/>
    </w:pPr>
    <w:rPr>
      <w:rFonts w:ascii="Arial" w:hAnsi="Arial"/>
      <w:color w:val="4D6A77" w:themeColor="text1" w:themeTint="D9"/>
      <w:sz w:val="16"/>
      <w:szCs w:val="16"/>
    </w:rPr>
  </w:style>
  <w:style w:type="paragraph" w:customStyle="1" w:styleId="SubBulletBoxChartListParagraph">
    <w:name w:val="Sub Bullet Box/Chart List Paragraph"/>
    <w:basedOn w:val="BoxChartListParagraph"/>
    <w:rsid w:val="00484BEE"/>
    <w:pPr>
      <w:numPr>
        <w:numId w:val="36"/>
      </w:numPr>
      <w:tabs>
        <w:tab w:val="clear" w:pos="450"/>
        <w:tab w:val="left" w:pos="810"/>
      </w:tabs>
      <w:contextualSpacing/>
    </w:pPr>
  </w:style>
  <w:style w:type="paragraph" w:customStyle="1" w:styleId="SubBulletListParagraph">
    <w:name w:val="Sub Bullet List Paragraph"/>
    <w:basedOn w:val="ListParagraph"/>
    <w:rsid w:val="003A19A7"/>
    <w:pPr>
      <w:numPr>
        <w:numId w:val="38"/>
      </w:numPr>
      <w:spacing w:before="0" w:after="120"/>
    </w:pPr>
  </w:style>
  <w:style w:type="character" w:customStyle="1" w:styleId="Heading7Char">
    <w:name w:val="Heading 7 Char"/>
    <w:basedOn w:val="DefaultParagraphFont"/>
    <w:link w:val="Heading7"/>
    <w:uiPriority w:val="9"/>
    <w:rsid w:val="00F70303"/>
    <w:rPr>
      <w:rFonts w:ascii="Arial" w:eastAsiaTheme="majorEastAsia" w:hAnsi="Arial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DD0129"/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2D2A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2D2AF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8EAAB6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8EAAB6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RTSLTableHeading">
    <w:name w:val="RTSL Table Heading"/>
    <w:basedOn w:val="TableNormal"/>
    <w:uiPriority w:val="99"/>
    <w:rsid w:val="00FE0C6F"/>
    <w:pPr>
      <w:widowControl/>
      <w:autoSpaceDE/>
      <w:autoSpaceDN/>
      <w:spacing w:before="120" w:after="120"/>
      <w:ind w:left="144" w:right="144"/>
    </w:pPr>
    <w:rPr>
      <w:rFonts w:ascii="Arial" w:hAnsi="Arial"/>
      <w:sz w:val="16"/>
    </w:rPr>
    <w:tblPr>
      <w:tblStyleRowBandSize w:val="1"/>
      <w:tblBorders>
        <w:top w:val="single" w:sz="4" w:space="0" w:color="D5D6E2"/>
        <w:left w:val="single" w:sz="4" w:space="0" w:color="D5D6E2"/>
        <w:bottom w:val="single" w:sz="4" w:space="0" w:color="D5D6E2"/>
        <w:right w:val="single" w:sz="4" w:space="0" w:color="D5D6E2"/>
        <w:insideH w:val="single" w:sz="4" w:space="0" w:color="D5D6E2"/>
        <w:insideV w:val="single" w:sz="4" w:space="0" w:color="D5D6E2"/>
      </w:tblBorders>
    </w:tblPr>
    <w:tblStylePr w:type="firstRow">
      <w:pPr>
        <w:jc w:val="left"/>
      </w:pPr>
      <w:rPr>
        <w:rFonts w:ascii="Arial" w:hAnsi="Arial"/>
        <w:b/>
        <w:color w:val="FFFFFF" w:themeColor="background1"/>
        <w:sz w:val="16"/>
      </w:rPr>
      <w:tblPr/>
      <w:tcPr>
        <w:shd w:val="clear" w:color="auto" w:fill="382986"/>
        <w:vAlign w:val="center"/>
      </w:tcPr>
    </w:tblStylePr>
    <w:tblStylePr w:type="firstCol">
      <w:pPr>
        <w:jc w:val="left"/>
      </w:pPr>
      <w:rPr>
        <w:rFonts w:ascii="Arial" w:hAnsi="Arial"/>
        <w:b/>
        <w:color w:val="FFFFFF" w:themeColor="background1"/>
      </w:rPr>
      <w:tblPr/>
      <w:tcPr>
        <w:shd w:val="clear" w:color="auto" w:fill="606EA5"/>
        <w:vAlign w:val="center"/>
      </w:tcPr>
    </w:tblStylePr>
    <w:tblStylePr w:type="band2Horz">
      <w:tblPr/>
      <w:tcPr>
        <w:shd w:val="clear" w:color="auto" w:fill="E6E8EF"/>
      </w:tcPr>
    </w:tblStylePr>
  </w:style>
  <w:style w:type="table" w:styleId="GridTable5Dark-Accent5">
    <w:name w:val="Grid Table 5 Dark Accent 5"/>
    <w:aliases w:val="RTSL Table"/>
    <w:basedOn w:val="TableNormal"/>
    <w:uiPriority w:val="50"/>
    <w:rsid w:val="009E7DC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C8DF" w:themeFill="accent5" w:themeFillTint="33"/>
    </w:tcPr>
    <w:tblStylePr w:type="firstRow">
      <w:rPr>
        <w:b/>
        <w:bCs/>
        <w:color w:val="FFFFFF" w:themeColor="background1"/>
      </w:rPr>
      <w:tblPr/>
      <w:tcPr>
        <w:shd w:val="clear" w:color="auto" w:fill="38298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1E61" w:themeFill="accent5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E38080" w:themeFill="accent2" w:themeFillTint="99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1E61" w:themeFill="accent5"/>
      </w:tcPr>
    </w:tblStylePr>
    <w:tblStylePr w:type="band1Vert">
      <w:tblPr/>
      <w:tcPr>
        <w:shd w:val="clear" w:color="auto" w:fill="EA92C0" w:themeFill="accent5" w:themeFillTint="66"/>
      </w:tcPr>
    </w:tblStylePr>
    <w:tblStylePr w:type="band1Horz">
      <w:tblPr/>
      <w:tcPr>
        <w:shd w:val="clear" w:color="auto" w:fill="EA92C0" w:themeFill="accent5" w:themeFillTint="66"/>
      </w:tcPr>
    </w:tblStylePr>
  </w:style>
  <w:style w:type="paragraph" w:customStyle="1" w:styleId="RTSLNumberParagraph">
    <w:name w:val="RTSL Number Paragraph"/>
    <w:basedOn w:val="BodyText"/>
    <w:rsid w:val="00DC09BD"/>
    <w:pPr>
      <w:numPr>
        <w:numId w:val="30"/>
      </w:numPr>
      <w:autoSpaceDE/>
      <w:autoSpaceDN/>
      <w:spacing w:line="240" w:lineRule="auto"/>
      <w:ind w:right="0"/>
    </w:pPr>
  </w:style>
  <w:style w:type="paragraph" w:styleId="NormalWeb">
    <w:name w:val="Normal (Web)"/>
    <w:basedOn w:val="Normal"/>
    <w:uiPriority w:val="99"/>
    <w:semiHidden/>
    <w:unhideWhenUsed/>
    <w:rsid w:val="000653A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7C3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7C3C"/>
    <w:rPr>
      <w:rFonts w:ascii="PublicSans-Thin" w:eastAsia="PublicSans-Thin" w:hAnsi="PublicSans-Thin" w:cs="PublicSans-Th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97C3C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09471C"/>
  </w:style>
  <w:style w:type="character" w:styleId="Emphasis">
    <w:name w:val="Emphasis"/>
    <w:basedOn w:val="DefaultParagraphFont"/>
    <w:uiPriority w:val="20"/>
    <w:qFormat/>
    <w:rsid w:val="003518DB"/>
    <w:rPr>
      <w:i/>
      <w:iCs/>
    </w:rPr>
  </w:style>
  <w:style w:type="character" w:styleId="Hyperlink">
    <w:name w:val="Hyperlink"/>
    <w:basedOn w:val="DefaultParagraphFont"/>
    <w:uiPriority w:val="99"/>
    <w:unhideWhenUsed/>
    <w:rsid w:val="002C4E83"/>
    <w:rPr>
      <w:color w:val="0563C1" w:themeColor="hyperlink"/>
      <w:u w:val="single"/>
    </w:rPr>
  </w:style>
  <w:style w:type="numbering" w:customStyle="1" w:styleId="CurrentList1">
    <w:name w:val="Current List1"/>
    <w:uiPriority w:val="99"/>
    <w:rsid w:val="00243AA6"/>
    <w:pPr>
      <w:numPr>
        <w:numId w:val="32"/>
      </w:numPr>
    </w:pPr>
  </w:style>
  <w:style w:type="numbering" w:customStyle="1" w:styleId="CurrentList2">
    <w:name w:val="Current List2"/>
    <w:uiPriority w:val="99"/>
    <w:rsid w:val="00FA767E"/>
    <w:pPr>
      <w:numPr>
        <w:numId w:val="33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2C4E83"/>
    <w:rPr>
      <w:color w:val="605E5C"/>
      <w:shd w:val="clear" w:color="auto" w:fill="E1DFDD"/>
    </w:rPr>
  </w:style>
  <w:style w:type="numbering" w:customStyle="1" w:styleId="CurrentList3">
    <w:name w:val="Current List3"/>
    <w:uiPriority w:val="99"/>
    <w:rsid w:val="00DC09BD"/>
    <w:pPr>
      <w:numPr>
        <w:numId w:val="34"/>
      </w:numPr>
    </w:pPr>
  </w:style>
  <w:style w:type="numbering" w:customStyle="1" w:styleId="CurrentList4">
    <w:name w:val="Current List4"/>
    <w:uiPriority w:val="99"/>
    <w:rsid w:val="003539DF"/>
    <w:pPr>
      <w:numPr>
        <w:numId w:val="35"/>
      </w:numPr>
    </w:pPr>
  </w:style>
  <w:style w:type="numbering" w:customStyle="1" w:styleId="CurrentList5">
    <w:name w:val="Current List5"/>
    <w:uiPriority w:val="99"/>
    <w:rsid w:val="003539DF"/>
    <w:pPr>
      <w:numPr>
        <w:numId w:val="37"/>
      </w:numPr>
    </w:pPr>
  </w:style>
  <w:style w:type="table" w:customStyle="1" w:styleId="717Alliance">
    <w:name w:val="717 Alliance"/>
    <w:basedOn w:val="TableNormal"/>
    <w:uiPriority w:val="99"/>
    <w:rsid w:val="006A2BD3"/>
    <w:pPr>
      <w:widowControl/>
      <w:autoSpaceDE/>
      <w:autoSpaceDN/>
      <w:spacing w:before="120" w:after="120"/>
      <w:ind w:left="144" w:right="144"/>
    </w:pPr>
    <w:rPr>
      <w:rFonts w:ascii="Arial" w:hAnsi="Arial"/>
    </w:rPr>
    <w:tblPr>
      <w:tblStyleRowBandSize w:val="1"/>
      <w:tblBorders>
        <w:top w:val="single" w:sz="4" w:space="0" w:color="ABB8C3" w:themeColor="accent4"/>
        <w:left w:val="single" w:sz="4" w:space="0" w:color="ABB8C3" w:themeColor="accent4"/>
        <w:bottom w:val="single" w:sz="4" w:space="0" w:color="ABB8C3" w:themeColor="accent4"/>
        <w:right w:val="single" w:sz="4" w:space="0" w:color="ABB8C3" w:themeColor="accent4"/>
        <w:insideH w:val="single" w:sz="4" w:space="0" w:color="ABB8C3" w:themeColor="accent4"/>
        <w:insideV w:val="single" w:sz="4" w:space="0" w:color="ABB8C3" w:themeColor="accent4"/>
      </w:tblBorders>
    </w:tblPr>
    <w:tcPr>
      <w:shd w:val="clear" w:color="auto" w:fill="auto"/>
    </w:tcPr>
    <w:tblStylePr w:type="firstRow">
      <w:tblPr/>
      <w:tcPr>
        <w:shd w:val="clear" w:color="auto" w:fill="3BB041" w:themeFill="accent1"/>
      </w:tcPr>
    </w:tblStylePr>
    <w:tblStylePr w:type="firstCol">
      <w:tblPr/>
      <w:tcPr>
        <w:shd w:val="clear" w:color="auto" w:fill="CCDDE8" w:themeFill="background2" w:themeFillShade="E6"/>
      </w:tcPr>
    </w:tblStylePr>
    <w:tblStylePr w:type="band2Horz">
      <w:tblPr/>
      <w:tcPr>
        <w:shd w:val="clear" w:color="auto" w:fill="EDF3F7" w:themeFill="background2"/>
      </w:tcPr>
    </w:tblStylePr>
  </w:style>
  <w:style w:type="table" w:styleId="GridTable4-Accent1">
    <w:name w:val="Grid Table 4 Accent 1"/>
    <w:basedOn w:val="TableNormal"/>
    <w:uiPriority w:val="49"/>
    <w:rsid w:val="00C67336"/>
    <w:tblPr>
      <w:tblStyleRowBandSize w:val="1"/>
      <w:tblStyleColBandSize w:val="1"/>
      <w:tblBorders>
        <w:top w:val="single" w:sz="4" w:space="0" w:color="83D587" w:themeColor="accent1" w:themeTint="99"/>
        <w:left w:val="single" w:sz="4" w:space="0" w:color="83D587" w:themeColor="accent1" w:themeTint="99"/>
        <w:bottom w:val="single" w:sz="4" w:space="0" w:color="83D587" w:themeColor="accent1" w:themeTint="99"/>
        <w:right w:val="single" w:sz="4" w:space="0" w:color="83D587" w:themeColor="accent1" w:themeTint="99"/>
        <w:insideH w:val="single" w:sz="4" w:space="0" w:color="83D587" w:themeColor="accent1" w:themeTint="99"/>
        <w:insideV w:val="single" w:sz="4" w:space="0" w:color="83D58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B041" w:themeColor="accent1"/>
          <w:left w:val="single" w:sz="4" w:space="0" w:color="3BB041" w:themeColor="accent1"/>
          <w:bottom w:val="single" w:sz="4" w:space="0" w:color="3BB041" w:themeColor="accent1"/>
          <w:right w:val="single" w:sz="4" w:space="0" w:color="3BB041" w:themeColor="accent1"/>
          <w:insideH w:val="nil"/>
          <w:insideV w:val="nil"/>
        </w:tcBorders>
        <w:shd w:val="clear" w:color="auto" w:fill="3BB041" w:themeFill="accent1"/>
      </w:tcPr>
    </w:tblStylePr>
    <w:tblStylePr w:type="lastRow">
      <w:rPr>
        <w:b/>
        <w:bCs/>
      </w:rPr>
      <w:tblPr/>
      <w:tcPr>
        <w:tcBorders>
          <w:top w:val="double" w:sz="4" w:space="0" w:color="3BB0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1D7" w:themeFill="accent1" w:themeFillTint="33"/>
      </w:tcPr>
    </w:tblStylePr>
    <w:tblStylePr w:type="band1Horz">
      <w:tblPr/>
      <w:tcPr>
        <w:shd w:val="clear" w:color="auto" w:fill="D5F1D7" w:themeFill="accent1" w:themeFillTint="33"/>
      </w:tcPr>
    </w:tblStylePr>
  </w:style>
  <w:style w:type="table" w:styleId="ListTable3-Accent1">
    <w:name w:val="List Table 3 Accent 1"/>
    <w:basedOn w:val="TableNormal"/>
    <w:uiPriority w:val="48"/>
    <w:rsid w:val="00C67336"/>
    <w:tblPr>
      <w:tblStyleRowBandSize w:val="1"/>
      <w:tblStyleColBandSize w:val="1"/>
      <w:tblBorders>
        <w:top w:val="single" w:sz="4" w:space="0" w:color="3BB041" w:themeColor="accent1"/>
        <w:left w:val="single" w:sz="4" w:space="0" w:color="3BB041" w:themeColor="accent1"/>
        <w:bottom w:val="single" w:sz="4" w:space="0" w:color="3BB041" w:themeColor="accent1"/>
        <w:right w:val="single" w:sz="4" w:space="0" w:color="3BB04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BB041" w:themeFill="accent1"/>
      </w:tcPr>
    </w:tblStylePr>
    <w:tblStylePr w:type="lastRow">
      <w:rPr>
        <w:b/>
        <w:bCs/>
      </w:rPr>
      <w:tblPr/>
      <w:tcPr>
        <w:tcBorders>
          <w:top w:val="double" w:sz="4" w:space="0" w:color="3BB04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BB041" w:themeColor="accent1"/>
          <w:right w:val="single" w:sz="4" w:space="0" w:color="3BB041" w:themeColor="accent1"/>
        </w:tcBorders>
      </w:tcPr>
    </w:tblStylePr>
    <w:tblStylePr w:type="band1Horz">
      <w:tblPr/>
      <w:tcPr>
        <w:tcBorders>
          <w:top w:val="single" w:sz="4" w:space="0" w:color="3BB041" w:themeColor="accent1"/>
          <w:bottom w:val="single" w:sz="4" w:space="0" w:color="3BB04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BB041" w:themeColor="accent1"/>
          <w:left w:val="nil"/>
        </w:tcBorders>
      </w:tcPr>
    </w:tblStylePr>
    <w:tblStylePr w:type="swCell">
      <w:tblPr/>
      <w:tcPr>
        <w:tcBorders>
          <w:top w:val="double" w:sz="4" w:space="0" w:color="3BB041" w:themeColor="accent1"/>
          <w:right w:val="nil"/>
        </w:tcBorders>
      </w:tc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PublicSans-Thin" w:eastAsia="PublicSans-Thin" w:hAnsi="PublicSans-Thin" w:cs="PublicSans-Thi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12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12F9"/>
    <w:rPr>
      <w:rFonts w:ascii="PublicSans-Thin" w:eastAsia="PublicSans-Thin" w:hAnsi="PublicSans-Thin" w:cs="PublicSans-Thin"/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A112F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81509">
          <w:marLeft w:val="0"/>
          <w:marRight w:val="0"/>
          <w:marTop w:val="0"/>
          <w:marBottom w:val="0"/>
          <w:divBdr>
            <w:top w:val="single" w:sz="12" w:space="19" w:color="F5F5F5"/>
            <w:left w:val="none" w:sz="0" w:space="0" w:color="auto"/>
            <w:bottom w:val="none" w:sz="0" w:space="11" w:color="auto"/>
            <w:right w:val="none" w:sz="0" w:space="0" w:color="auto"/>
          </w:divBdr>
        </w:div>
        <w:div w:id="1206214992">
          <w:marLeft w:val="0"/>
          <w:marRight w:val="0"/>
          <w:marTop w:val="0"/>
          <w:marBottom w:val="4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15294">
              <w:marLeft w:val="0"/>
              <w:marRight w:val="0"/>
              <w:marTop w:val="0"/>
              <w:marBottom w:val="0"/>
              <w:divBdr>
                <w:top w:val="single" w:sz="6" w:space="0" w:color="E0E0E0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88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5884360">
          <w:marLeft w:val="0"/>
          <w:marRight w:val="0"/>
          <w:marTop w:val="0"/>
          <w:marBottom w:val="0"/>
          <w:divBdr>
            <w:top w:val="single" w:sz="12" w:space="19" w:color="F5F5F5"/>
            <w:left w:val="none" w:sz="0" w:space="0" w:color="auto"/>
            <w:bottom w:val="none" w:sz="0" w:space="11" w:color="auto"/>
            <w:right w:val="none" w:sz="0" w:space="0" w:color="auto"/>
          </w:divBdr>
        </w:div>
      </w:divsChild>
    </w:div>
    <w:div w:id="15799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45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643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886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180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5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rappler.com/philippines/visayas/typhoid-fever-spreads-negros-occidental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manetwork.com/news/topstories/regions/934797/over-20-residents-in-barili-cebu-suffer-from-typhoid-fever/story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&#65279;<?xml version="1.0" encoding="UTF-8" standalone="yes"?>
<Relationships xmlns="http://schemas.openxmlformats.org/package/2006/relationships"><Relationship Id="rId2" Type="http://schemas.openxmlformats.org/officeDocument/2006/relationships/hyperlink" Target="https://717alliance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717 Alliance">
  <a:themeElements>
    <a:clrScheme name="Custom 8">
      <a:dk1>
        <a:srgbClr val="384D56"/>
      </a:dk1>
      <a:lt1>
        <a:srgbClr val="FFFFFF"/>
      </a:lt1>
      <a:dk2>
        <a:srgbClr val="618393"/>
      </a:dk2>
      <a:lt2>
        <a:srgbClr val="EDF3F7"/>
      </a:lt2>
      <a:accent1>
        <a:srgbClr val="3BB041"/>
      </a:accent1>
      <a:accent2>
        <a:srgbClr val="CF2E2E"/>
      </a:accent2>
      <a:accent3>
        <a:srgbClr val="FCB900"/>
      </a:accent3>
      <a:accent4>
        <a:srgbClr val="ABB8C3"/>
      </a:accent4>
      <a:accent5>
        <a:srgbClr val="9E1E61"/>
      </a:accent5>
      <a:accent6>
        <a:srgbClr val="9B51E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 algn="l">
          <a:defRPr dirty="0"/>
        </a:defPPr>
      </a:lstStyle>
    </a:txDef>
  </a:objectDefaults>
  <a:extraClrSchemeLst/>
  <a:extLst>
    <a:ext uri="{05A4C25C-085E-4340-85A3-A5531E510DB2}">
      <thm15:themeFamily xmlns:thm15="http://schemas.microsoft.com/office/thememl/2012/main" name="717 Alliance" id="{858F873C-86B2-2A41-BB93-07476007E8D6}" vid="{C96D2D7B-AA29-0042-9218-3898DA3B9F2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299543-0ab4-429f-8927-bf8e8716a0c2">
      <Terms xmlns="http://schemas.microsoft.com/office/infopath/2007/PartnerControls"/>
    </lcf76f155ced4ddcb4097134ff3c332f>
    <TaxCatchAll xmlns="d27c8f07-e503-4122-80c5-e52ee84151d4" xsi:nil="true"/>
    <TranslatedLang xmlns="ca299543-0ab4-429f-8927-bf8e8716a0c2" xsi:nil="true"/>
    <Comments xmlns="ca299543-0ab4-429f-8927-bf8e8716a0c2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3B71C273E20C4095B634201CDD2539" ma:contentTypeVersion="24" ma:contentTypeDescription="Create a new document." ma:contentTypeScope="" ma:versionID="1827fb999827c7afb550ec37460d6527">
  <xsd:schema xmlns:xsd="http://www.w3.org/2001/XMLSchema" xmlns:xs="http://www.w3.org/2001/XMLSchema" xmlns:p="http://schemas.microsoft.com/office/2006/metadata/properties" xmlns:ns1="http://schemas.microsoft.com/sharepoint/v3" xmlns:ns2="ca299543-0ab4-429f-8927-bf8e8716a0c2" xmlns:ns3="d27c8f07-e503-4122-80c5-e52ee84151d4" targetNamespace="http://schemas.microsoft.com/office/2006/metadata/properties" ma:root="true" ma:fieldsID="7ce67c3a285013c68dbfa87fed1af3d4" ns1:_="" ns2:_="" ns3:_="">
    <xsd:import namespace="http://schemas.microsoft.com/sharepoint/v3"/>
    <xsd:import namespace="ca299543-0ab4-429f-8927-bf8e8716a0c2"/>
    <xsd:import namespace="d27c8f07-e503-4122-80c5-e52ee8415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99543-0ab4-429f-8927-bf8e8716a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4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7" nillable="true" ma:displayName="Translated Language" ma:internalName="TranslatedLang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c8f07-e503-4122-80c5-e52ee8415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94d5955-93c2-4535-8179-a5e838035f88}" ma:internalName="TaxCatchAll" ma:showField="CatchAllData" ma:web="d27c8f07-e503-4122-80c5-e52ee8415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8C5128-39EF-6647-9BAE-F23E0C2E2E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63CB0E-2062-416D-83BA-AA5494188F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93CEAA-AA1C-455D-85B2-40DE4CE37DEF}">
  <ds:schemaRefs>
    <ds:schemaRef ds:uri="http://schemas.microsoft.com/office/2006/metadata/properties"/>
    <ds:schemaRef ds:uri="http://schemas.microsoft.com/office/infopath/2007/PartnerControls"/>
    <ds:schemaRef ds:uri="ca299543-0ab4-429f-8927-bf8e8716a0c2"/>
    <ds:schemaRef ds:uri="d27c8f07-e503-4122-80c5-e52ee84151d4"/>
    <ds:schemaRef ds:uri="d278d6d4-1e95-49d0-ad8b-8a60c47dc760"/>
    <ds:schemaRef ds:uri="c5613cd5-748e-412e-9a2f-bebdac0f41fd"/>
  </ds:schemaRefs>
</ds:datastoreItem>
</file>

<file path=customXml/itemProps4.xml><?xml version="1.0" encoding="utf-8"?>
<ds:datastoreItem xmlns:ds="http://schemas.openxmlformats.org/officeDocument/2006/customXml" ds:itemID="{D6CF21FF-52EF-4B1D-9D8E-3131AF1C8DA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807</Words>
  <Characters>4603</Characters>
  <Application>Microsoft Office Word</Application>
  <DocSecurity>0</DocSecurity>
  <Lines>38</Lines>
  <Paragraphs>10</Paragraphs>
  <ScaleCrop>false</ScaleCrop>
  <Company/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Piper</dc:creator>
  <cp:keywords/>
  <cp:lastModifiedBy>Rahul Maske</cp:lastModifiedBy>
  <cp:revision>5</cp:revision>
  <cp:lastPrinted>2024-08-16T11:26:00Z</cp:lastPrinted>
  <dcterms:created xsi:type="dcterms:W3CDTF">2025-03-06T14:26:00Z</dcterms:created>
  <dcterms:modified xsi:type="dcterms:W3CDTF">2025-05-02T20:35:00Z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Adobe InDesign 17.1 (Macintosh)</vt:lpwstr>
  </property>
  <property fmtid="{D5CDD505-2E9C-101B-9397-08002B2CF9AE}" pid="4" name="LastSaved">
    <vt:filetime>2022-03-16T00:00:00Z</vt:filetime>
  </property>
  <property fmtid="{D5CDD505-2E9C-101B-9397-08002B2CF9AE}" pid="5" name="ContentTypeId">
    <vt:lpwstr>0x010100173B71C273E20C4095B634201CDD2539</vt:lpwstr>
  </property>
  <property fmtid="{D5CDD505-2E9C-101B-9397-08002B2CF9AE}" pid="6" name="Order">
    <vt:r8>5800</vt:r8>
  </property>
  <property fmtid="{D5CDD505-2E9C-101B-9397-08002B2CF9AE}" pid="7" name="MSIP_Label_defa4170-0d19-0005-0004-bc88714345d2_Enabled">
    <vt:lpwstr>true</vt:lpwstr>
  </property>
  <property fmtid="{D5CDD505-2E9C-101B-9397-08002B2CF9AE}" pid="8" name="MSIP_Label_defa4170-0d19-0005-0004-bc88714345d2_SetDate">
    <vt:lpwstr>2023-03-02T17:40:35Z</vt:lpwstr>
  </property>
  <property fmtid="{D5CDD505-2E9C-101B-9397-08002B2CF9AE}" pid="9" name="MSIP_Label_defa4170-0d19-0005-0004-bc88714345d2_Method">
    <vt:lpwstr>Standard</vt:lpwstr>
  </property>
  <property fmtid="{D5CDD505-2E9C-101B-9397-08002B2CF9AE}" pid="10" name="MSIP_Label_defa4170-0d19-0005-0004-bc88714345d2_Name">
    <vt:lpwstr>defa4170-0d19-0005-0004-bc88714345d2</vt:lpwstr>
  </property>
  <property fmtid="{D5CDD505-2E9C-101B-9397-08002B2CF9AE}" pid="11" name="MSIP_Label_defa4170-0d19-0005-0004-bc88714345d2_SiteId">
    <vt:lpwstr>762de5b4-45da-4234-a5e1-ee3e978f8a57</vt:lpwstr>
  </property>
  <property fmtid="{D5CDD505-2E9C-101B-9397-08002B2CF9AE}" pid="12" name="MSIP_Label_defa4170-0d19-0005-0004-bc88714345d2_ActionId">
    <vt:lpwstr>f0aefd8a-fc90-4eb5-99ab-b3511ecc1077</vt:lpwstr>
  </property>
  <property fmtid="{D5CDD505-2E9C-101B-9397-08002B2CF9AE}" pid="13" name="MSIP_Label_defa4170-0d19-0005-0004-bc88714345d2_ContentBits">
    <vt:lpwstr>0</vt:lpwstr>
  </property>
  <property fmtid="{D5CDD505-2E9C-101B-9397-08002B2CF9AE}" pid="14" name="MediaServiceImageTags">
    <vt:lpwstr/>
  </property>
  <property fmtid="{D5CDD505-2E9C-101B-9397-08002B2CF9AE}" pid="15" name="_dlc_DocIdItemGuid">
    <vt:lpwstr>45172c5c-a7f9-460e-98e7-f6d9dca355ea</vt:lpwstr>
  </property>
</Properties>
</file>